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6682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682740"/>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Fan Gary</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1055 WILSHIRE BLVD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RBB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RBB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69"/>
        <w:spacing w:after="0"/>
        <w:rPr>
          <w:sz w:val="20"/>
          <w:szCs w:val="20"/>
          <w:color w:val="auto"/>
        </w:rPr>
      </w:pPr>
      <w:r>
        <w:rPr>
          <w:rFonts w:ascii="Times New Roman" w:cs="Times New Roman" w:eastAsia="Times New Roman" w:hAnsi="Times New Roman"/>
          <w:sz w:val="17"/>
          <w:szCs w:val="17"/>
          <w:color w:val="0000FF"/>
        </w:rPr>
        <w:t>EVP/Chief Operations Officer</w:t>
      </w:r>
    </w:p>
    <w:p>
      <w:pPr>
        <w:spacing w:after="0" w:line="394" w:lineRule="exact"/>
        <w:rPr>
          <w:sz w:val="24"/>
          <w:szCs w:val="24"/>
          <w:color w:val="auto"/>
        </w:rPr>
      </w:pPr>
    </w:p>
    <w:p>
      <w:pPr>
        <w:sectPr>
          <w:pgSz w:w="11900" w:h="16838" w:orient="portrait"/>
          <w:cols w:equalWidth="0" w:num="3">
            <w:col w:w="3180" w:space="720"/>
            <w:col w:w="3111" w:space="720"/>
            <w:col w:w="334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58"/>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color w:val="auto"/>
                <w:w w:val="89"/>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LOS ANGELES CA</w:t>
            </w:r>
          </w:p>
        </w:tc>
        <w:tc>
          <w:tcPr>
            <w:tcW w:w="860" w:type="dxa"/>
            <w:vAlign w:val="bottom"/>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90017</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260" w:type="dxa"/>
            <w:vAlign w:val="bottom"/>
          </w:tcPr>
          <w:p>
            <w:pPr>
              <w:spacing w:after="0"/>
              <w:rPr>
                <w:sz w:val="6"/>
                <w:szCs w:val="6"/>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6"/>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2,368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40" w:type="dxa"/>
            <w:vAlign w:val="bottom"/>
            <w:gridSpan w:val="11"/>
          </w:tcPr>
          <w:p>
            <w:pPr>
              <w:jc w:val="center"/>
              <w:ind w:left="51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820" w:type="dxa"/>
            <w:vAlign w:val="bottom"/>
            <w:gridSpan w:val="2"/>
            <w:vMerge w:val="restart"/>
          </w:tcPr>
          <w:p>
            <w:pPr>
              <w:jc w:val="right"/>
              <w:ind w:right="13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12/20/2032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8"/>
              </w:rPr>
              <w:t>12,000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12,000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Options</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1,011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5"/>
              </w:rPr>
              <w:t>1,011</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1,314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5"/>
              </w:rPr>
              <w:t>1,314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5,916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5"/>
              </w:rPr>
              <w:t>5,916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2,904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5"/>
              </w:rPr>
              <w:t>2,904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6,534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5"/>
              </w:rPr>
              <w:t>6,534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4,660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5"/>
              </w:rPr>
              <w:t>4,660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(9)</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3,106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5"/>
              </w:rPr>
              <w:t>3,106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-3831590</wp:posOffset>
            </wp:positionV>
            <wp:extent cx="29210" cy="3836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836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remaining options vest in two equal annual installments on 12/05/2026 and 12/05/2027.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remaining restricted stock units vest on 02/21/2027.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will be no expiration date once restricted stock units vest.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remaining restricted stock units vest on 03/20/2027.</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 stock units ("PSUs") will vest conditionally on the achievement of certain performance goals and an employment condition. The reported PSUs will vest at the expiration of a three-year period beginning on 03/20/2024 subject to the Reporting Person's satisfaction of the employment condition.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remaining restricted stock units vest in two equal installments on 05/08/2027 and 05/08/2028.</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to vest conditionally on the achievement of certain performance goals and an employment condition. The PSUs are awarded at a target level and have the opportunity to vest at 150% of such target level; The reported PSUs represent the maximum award that may be achieved and ultimately vest. The reported PSUs will vest at the expiration of a three-year period beginning on 05/08/2025 subject to the Reporting Person's satisfaction of the employment condition.</w:t>
      </w:r>
    </w:p>
    <w:p>
      <w:pPr>
        <w:spacing w:after="0" w:line="26"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to vest conditionally on the achievement of certain performance goals to occur after December 31, 2028, and before March 14, 2029, and an employment condition. The PSUs are awarded at a target level and have the opportunity to vest at 150% of such target level; The reported PSUs represent the maximum award that may be achieved and ultimately vest. The reported PSUs will vest at the certification by the Board of Directors subject to the Reporting Person's satisfaction of the employment condition.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in three equal annual installments beginning one year after the 05/13/2026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7" w:right="359" w:bottom="0" w:gutter="0" w:footer="0" w:header="0"/>
          <w:type w:val="continuous"/>
        </w:sectPr>
      </w:pPr>
    </w:p>
    <w:p>
      <w:pPr>
        <w:spacing w:after="0" w:line="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Restricted Stock Units (RSUs) and a maximum Performance Stock Units (PSUs) were granted on May 13, 2026.</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Gary Fan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05/15/2026</w:t>
            </w:r>
          </w:p>
        </w:tc>
      </w:tr>
      <w:tr>
        <w:trPr>
          <w:trHeight w:val="20"/>
        </w:trPr>
        <w:tc>
          <w:tcPr>
            <w:tcW w:w="8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7237" TargetMode="External"/><Relationship Id="rId14" Type="http://schemas.openxmlformats.org/officeDocument/2006/relationships/hyperlink" Target="http://www.sec.gov/cgi-bin/browse-edgar?action=getcompany&amp;CIK=0001499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2026-05-15T19:42:44Z</dcterms:created>
  <dcterms:modified xsi:type="dcterms:W3CDTF">2026-05-15T19:42:44Z</dcterms:modified>
</cp:coreProperties>
</file>