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80" w:right="1120" w:hanging="3772"/>
        <w:spacing w:after="0" w:line="469" w:lineRule="auto"/>
        <w:tabs>
          <w:tab w:leader="none" w:pos="9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 or</w:t>
      </w:r>
    </w:p>
    <w:p>
      <w:pPr>
        <w:spacing w:after="0" w:line="38" w:lineRule="exact"/>
        <w:rPr>
          <w:sz w:val="24"/>
          <w:szCs w:val="24"/>
          <w:color w:val="auto"/>
        </w:rPr>
      </w:pPr>
    </w:p>
    <w:p>
      <w:pPr>
        <w:jc w:val="center"/>
        <w:ind w:left="3860" w:right="1100" w:hanging="3852"/>
        <w:spacing w:after="0" w:line="500" w:lineRule="auto"/>
        <w:tabs>
          <w:tab w:leader="none" w:pos="98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001-38149</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RBB BANCORP</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27-2776416</w:t>
            </w:r>
          </w:p>
        </w:tc>
      </w:tr>
      <w:tr>
        <w:trPr>
          <w:trHeight w:val="216"/>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1055 Wilshire Blvd., Suite 1200,</w:t>
            </w:r>
          </w:p>
        </w:tc>
        <w:tc>
          <w:tcPr>
            <w:tcW w:w="3120" w:type="dxa"/>
            <w:vAlign w:val="bottom"/>
          </w:tcPr>
          <w:p>
            <w:pPr>
              <w:spacing w:after="0"/>
              <w:rPr>
                <w:sz w:val="24"/>
                <w:szCs w:val="24"/>
                <w:color w:val="auto"/>
              </w:rPr>
            </w:pPr>
          </w:p>
        </w:tc>
      </w:tr>
      <w:tr>
        <w:trPr>
          <w:trHeight w:val="216"/>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90017</w:t>
            </w:r>
          </w:p>
        </w:tc>
      </w:tr>
      <w:tr>
        <w:trPr>
          <w:trHeight w:val="238"/>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(213) 627-9888</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 (b)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2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No Par Value</w:t>
            </w:r>
          </w:p>
        </w:tc>
        <w:tc>
          <w:tcPr>
            <w:tcW w:w="1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RBB</w:t>
            </w:r>
          </w:p>
        </w:tc>
        <w:tc>
          <w:tcPr>
            <w:tcW w:w="1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65"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tabs>
          <w:tab w:leader="none" w:pos="89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of the registrant: 16,935,888 outstanding as of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8"/>
        </w:trPr>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 xml:space="preserve">PART I </w:t>
            </w:r>
            <w:r>
              <w:rPr>
                <w:rFonts w:ascii="Times New Roman" w:cs="Times New Roman" w:eastAsia="Times New Roman" w:hAnsi="Times New Roman"/>
                <w:sz w:val="18"/>
                <w:szCs w:val="18"/>
                <w:color w:val="0000EE"/>
                <w:w w:val="98"/>
              </w:rPr>
              <w:t>–</w:t>
            </w:r>
            <w:r>
              <w:rPr>
                <w:rFonts w:ascii="Times New Roman" w:cs="Times New Roman" w:eastAsia="Times New Roman" w:hAnsi="Times New Roman"/>
                <w:sz w:val="18"/>
                <w:szCs w:val="18"/>
                <w:b w:val="1"/>
                <w:bCs w:val="1"/>
                <w:color w:val="0000EE"/>
                <w:w w:val="98"/>
              </w:rPr>
              <w:t xml:space="preserve"> FINANCIAL INFORMATION (UNAUDITED)</w:t>
            </w:r>
          </w:p>
        </w:tc>
        <w:tc>
          <w:tcPr>
            <w:tcW w:w="6340" w:type="dxa"/>
            <w:vAlign w:val="bottom"/>
            <w:gridSpan w:val="8"/>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1.</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CONSOLIDATED FINANCIAL STATEMENTS (UNAUDITED)</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5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NOTES TO CONSOLIDATED FINANCIAL STATEMENTS (UNAUDITED)</w:t>
            </w:r>
          </w:p>
        </w:tc>
        <w:tc>
          <w:tcPr>
            <w:tcW w:w="3620" w:type="dxa"/>
            <w:vAlign w:val="bottom"/>
            <w:gridSpan w:val="3"/>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MANAGEMENT</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S DISCUSSION AND ANALYSIS OF FINANCIAL CONDITION AND RESULTS OF OPERATIONS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CRITICAL ACCOUNTING POLICIES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OVERVIEW</w:t>
            </w:r>
          </w:p>
        </w:tc>
        <w:tc>
          <w:tcPr>
            <w:tcW w:w="6500" w:type="dxa"/>
            <w:vAlign w:val="bottom"/>
            <w:gridSpan w:val="9"/>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ANALYSIS OF THE RESULTS OF OPERATIONS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338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ANALYSIS OF FINANCIAL CONDITION</w:t>
            </w:r>
          </w:p>
        </w:tc>
        <w:tc>
          <w:tcPr>
            <w:tcW w:w="600" w:type="dxa"/>
            <w:vAlign w:val="bottom"/>
            <w:tcBorders>
              <w:top w:val="single" w:sz="8" w:color="0000EE"/>
            </w:tcBorders>
          </w:tcPr>
          <w:p>
            <w:pPr>
              <w:spacing w:after="0"/>
              <w:rPr>
                <w:sz w:val="17"/>
                <w:szCs w:val="17"/>
                <w:color w:val="auto"/>
              </w:rPr>
            </w:pPr>
          </w:p>
        </w:tc>
        <w:tc>
          <w:tcPr>
            <w:tcW w:w="562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0000EE"/>
            </w:tcBorders>
            <w:gridSpan w:val="2"/>
            <w:shd w:val="clear" w:color="auto" w:fill="0000EE"/>
          </w:tcPr>
          <w:p>
            <w:pPr>
              <w:spacing w:after="0" w:line="20" w:lineRule="exact"/>
              <w:rPr>
                <w:sz w:val="1"/>
                <w:szCs w:val="1"/>
                <w:color w:val="auto"/>
              </w:rPr>
            </w:pPr>
          </w:p>
        </w:tc>
        <w:tc>
          <w:tcPr>
            <w:tcW w:w="460" w:type="dxa"/>
            <w:vAlign w:val="bottom"/>
            <w:tcBorders>
              <w:bottom w:val="single" w:sz="8" w:color="0000EE"/>
            </w:tcBorders>
            <w:gridSpan w:val="2"/>
            <w:shd w:val="clear" w:color="auto" w:fill="0000EE"/>
          </w:tcPr>
          <w:p>
            <w:pPr>
              <w:spacing w:after="0" w:line="20" w:lineRule="exact"/>
              <w:rPr>
                <w:sz w:val="1"/>
                <w:szCs w:val="1"/>
                <w:color w:val="auto"/>
              </w:rPr>
            </w:pPr>
          </w:p>
        </w:tc>
        <w:tc>
          <w:tcPr>
            <w:tcW w:w="340" w:type="dxa"/>
            <w:vAlign w:val="bottom"/>
            <w:tcBorders>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Borders>
              <w:bottom w:val="single" w:sz="8" w:color="0000EE"/>
            </w:tcBorders>
            <w:gridSpan w:val="3"/>
            <w:shd w:val="clear" w:color="auto" w:fill="0000EE"/>
          </w:tcPr>
          <w:p>
            <w:pPr>
              <w:spacing w:after="0" w:line="20" w:lineRule="exact"/>
              <w:rPr>
                <w:sz w:val="1"/>
                <w:szCs w:val="1"/>
                <w:color w:val="auto"/>
              </w:rPr>
            </w:pPr>
          </w:p>
        </w:tc>
        <w:tc>
          <w:tcPr>
            <w:tcW w:w="3040" w:type="dxa"/>
            <w:vAlign w:val="bottom"/>
            <w:tcBorders>
              <w:bottom w:val="single" w:sz="8" w:color="0000EE"/>
            </w:tcBorders>
            <w:gridSpan w:val="5"/>
            <w:shd w:val="clear" w:color="auto" w:fill="0000EE"/>
          </w:tcPr>
          <w:p>
            <w:pPr>
              <w:spacing w:after="0" w:line="20" w:lineRule="exact"/>
              <w:rPr>
                <w:sz w:val="1"/>
                <w:szCs w:val="1"/>
                <w:color w:val="auto"/>
              </w:rPr>
            </w:pPr>
          </w:p>
        </w:tc>
        <w:tc>
          <w:tcPr>
            <w:tcW w:w="32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4.</w:t>
            </w:r>
          </w:p>
        </w:tc>
        <w:tc>
          <w:tcPr>
            <w:tcW w:w="9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4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 - OTHER INFORMATION</w:t>
            </w:r>
          </w:p>
        </w:tc>
        <w:tc>
          <w:tcPr>
            <w:tcW w:w="7920" w:type="dxa"/>
            <w:vAlign w:val="bottom"/>
            <w:gridSpan w:val="14"/>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1.</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ITEM 1A.</w:t>
            </w:r>
          </w:p>
        </w:tc>
        <w:tc>
          <w:tcPr>
            <w:tcW w:w="1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8260" w:type="dxa"/>
            <w:vAlign w:val="bottom"/>
            <w:gridSpan w:val="15"/>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2.</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bottom w:val="single" w:sz="8" w:color="0000EE"/>
            </w:tcBorders>
            <w:gridSpan w:val="2"/>
            <w:shd w:val="clear" w:color="auto" w:fill="0000EE"/>
          </w:tcPr>
          <w:p>
            <w:pPr>
              <w:spacing w:after="0" w:line="20" w:lineRule="exact"/>
              <w:rPr>
                <w:sz w:val="1"/>
                <w:szCs w:val="1"/>
                <w:color w:val="auto"/>
              </w:rPr>
            </w:pPr>
          </w:p>
        </w:tc>
        <w:tc>
          <w:tcPr>
            <w:tcW w:w="1140" w:type="dxa"/>
            <w:vAlign w:val="bottom"/>
            <w:tcBorders>
              <w:bottom w:val="single" w:sz="8" w:color="0000EE"/>
            </w:tcBorders>
            <w:gridSpan w:val="5"/>
            <w:shd w:val="clear" w:color="auto" w:fill="0000EE"/>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800" w:type="dxa"/>
            <w:vAlign w:val="bottom"/>
            <w:tcBorders>
              <w:bottom w:val="single" w:sz="8" w:color="0000EE"/>
            </w:tcBorders>
            <w:gridSpan w:val="4"/>
            <w:shd w:val="clear" w:color="auto" w:fill="0000EE"/>
          </w:tcPr>
          <w:p>
            <w:pPr>
              <w:spacing w:after="0" w:line="20" w:lineRule="exact"/>
              <w:rPr>
                <w:sz w:val="1"/>
                <w:szCs w:val="1"/>
                <w:color w:val="auto"/>
              </w:rPr>
            </w:pPr>
          </w:p>
        </w:tc>
        <w:tc>
          <w:tcPr>
            <w:tcW w:w="3040" w:type="dxa"/>
            <w:vAlign w:val="bottom"/>
            <w:tcBorders>
              <w:bottom w:val="single" w:sz="8" w:color="0000EE"/>
            </w:tcBorders>
            <w:gridSpan w:val="5"/>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20" w:type="dxa"/>
            <w:vAlign w:val="bottom"/>
          </w:tcPr>
          <w:p>
            <w:pPr>
              <w:spacing w:after="0"/>
              <w:rPr>
                <w:sz w:val="15"/>
                <w:szCs w:val="15"/>
                <w:color w:val="auto"/>
              </w:rPr>
            </w:pPr>
          </w:p>
        </w:tc>
        <w:tc>
          <w:tcPr>
            <w:tcW w:w="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ITEM 3.</w:t>
            </w:r>
          </w:p>
        </w:tc>
        <w:tc>
          <w:tcPr>
            <w:tcW w:w="9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2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4.</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5.</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ITEM 6.</w:t>
            </w:r>
          </w:p>
        </w:tc>
        <w:tc>
          <w:tcPr>
            <w:tcW w:w="96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SIGNATURES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c>
          <w:tcPr>
            <w:tcW w:w="0" w:type="dxa"/>
            <w:vAlign w:val="bottom"/>
          </w:tcPr>
          <w:p>
            <w:pPr>
              <w:spacing w:after="0"/>
              <w:rPr>
                <w:sz w:val="1"/>
                <w:szCs w:val="1"/>
                <w:color w:val="auto"/>
              </w:rPr>
            </w:pPr>
          </w:p>
        </w:tc>
      </w:tr>
      <w:tr>
        <w:trPr>
          <w:trHeight w:val="453"/>
        </w:trPr>
        <w:tc>
          <w:tcPr>
            <w:tcW w:w="2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2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7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2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27,086</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deposits with financial institutions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212,317</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Interest-earning time deposits in other financial institutions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4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Available for sale (amortized cost of $436,187 and $426,145 at March 31, 2026 and December 31,</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shd w:val="clear" w:color="auto" w:fill="CCEEFF"/>
          </w:tcPr>
          <w:p>
            <w:pPr>
              <w:spacing w:after="0"/>
              <w:rPr>
                <w:sz w:val="20"/>
                <w:szCs w:val="20"/>
                <w:color w:val="auto"/>
              </w:rPr>
            </w:pPr>
          </w:p>
        </w:tc>
        <w:tc>
          <w:tcPr>
            <w:tcW w:w="6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415,789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407,204</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Held to maturity (fair value of $4,033 and $4,103 at March 31, 2026 and December 31, 2025)</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3,325,232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3,314,301</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(43,888)</w:t>
            </w:r>
          </w:p>
        </w:tc>
      </w:tr>
      <w:tr>
        <w:trPr>
          <w:trHeight w:val="209"/>
        </w:trPr>
        <w:tc>
          <w:tcPr>
            <w:tcW w:w="800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Loans held for investment, net of allowance for loan losses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3,281,566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3,270,413</w:t>
            </w:r>
          </w:p>
        </w:tc>
        <w:tc>
          <w:tcPr>
            <w:tcW w:w="100" w:type="dxa"/>
            <w:vAlign w:val="bottom"/>
            <w:tcBorders>
              <w:top w:val="single" w:sz="8" w:color="CCEEFF"/>
            </w:tcBorders>
          </w:tcPr>
          <w:p>
            <w:pPr>
              <w:spacing w:after="0"/>
              <w:rPr>
                <w:sz w:val="18"/>
                <w:szCs w:val="18"/>
                <w:color w:val="auto"/>
              </w:rPr>
            </w:pPr>
          </w:p>
        </w:tc>
      </w:tr>
      <w:tr>
        <w:trPr>
          <w:trHeight w:val="216"/>
        </w:trPr>
        <w:tc>
          <w:tcPr>
            <w:tcW w:w="1280" w:type="dxa"/>
            <w:vAlign w:val="bottom"/>
            <w:gridSpan w:val="2"/>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23,540</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Home Loan Bank (FHLB) stock</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16,347</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surrender value of bank owned life insurance (BOLI)</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61,972</w:t>
            </w: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71,498</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23,026</w:t>
            </w:r>
          </w:p>
        </w:tc>
      </w:tr>
      <w:tr>
        <w:trPr>
          <w:trHeight w:val="216"/>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4,194,312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4,208,294</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4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 demand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526,882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526,538</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Savings, NOW and money market accounts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1,175,735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956,299</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Time deposits $250,000 and under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974,670</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Time deposits over $250,000</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892,891</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3,339,884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3,350,398</w:t>
            </w:r>
          </w:p>
        </w:tc>
      </w:tr>
      <w:tr>
        <w:trPr>
          <w:trHeight w:val="216"/>
        </w:trPr>
        <w:tc>
          <w:tcPr>
            <w:tcW w:w="12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unfunded commitments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FHLB advances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issuance costs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119,911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Subordinated debentures,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15,375</w:t>
            </w: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operating leases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24,800</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100" w:type="dxa"/>
            <w:vAlign w:val="bottom"/>
          </w:tcPr>
          <w:p>
            <w:pPr>
              <w:spacing w:after="0"/>
              <w:rPr>
                <w:sz w:val="18"/>
                <w:szCs w:val="18"/>
                <w:color w:val="auto"/>
              </w:rPr>
            </w:pPr>
          </w:p>
        </w:tc>
      </w:tr>
      <w:tr>
        <w:trPr>
          <w:trHeight w:val="209"/>
        </w:trPr>
        <w:tc>
          <w:tcPr>
            <w:tcW w:w="800" w:type="dxa"/>
            <w:vAlign w:val="bottom"/>
            <w:shd w:val="clear" w:color="auto" w:fill="CCEEFF"/>
          </w:tcPr>
          <w:p>
            <w:pPr>
              <w:spacing w:after="0"/>
              <w:rPr>
                <w:sz w:val="18"/>
                <w:szCs w:val="18"/>
                <w:color w:val="auto"/>
              </w:rPr>
            </w:pPr>
          </w:p>
        </w:tc>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3,663,258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3,684,884</w:t>
            </w:r>
          </w:p>
        </w:tc>
      </w:tr>
      <w:tr>
        <w:trPr>
          <w:trHeight w:val="216"/>
        </w:trPr>
        <w:tc>
          <w:tcPr>
            <w:tcW w:w="12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 Note 12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Preferred Stock - 100,000,000 shares authorized, no par value; none outstanding</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- 100,000,000 shares authorized, no par value; 17,074,159 shares issued and outstanding</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at March 31, 2026 and 17,057,397 shares issued and outstanding at December 31, 2025</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251,050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250,694</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3,941</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290,566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282,024</w:t>
            </w:r>
          </w:p>
        </w:tc>
      </w:tr>
      <w:tr>
        <w:trPr>
          <w:trHeight w:val="216"/>
        </w:trPr>
        <w:tc>
          <w:tcPr>
            <w:tcW w:w="80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(13,321)</w:t>
            </w:r>
          </w:p>
        </w:tc>
      </w:tr>
      <w:tr>
        <w:trPr>
          <w:trHeight w:val="209"/>
        </w:trPr>
        <w:tc>
          <w:tcPr>
            <w:tcW w:w="8000" w:type="dxa"/>
            <w:vAlign w:val="bottom"/>
            <w:tcBorders>
              <w:top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531,054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523,410</w:t>
            </w:r>
          </w:p>
        </w:tc>
        <w:tc>
          <w:tcPr>
            <w:tcW w:w="100" w:type="dxa"/>
            <w:vAlign w:val="bottom"/>
            <w:tcBorders>
              <w:top w:val="single" w:sz="8" w:color="CCEEFF"/>
            </w:tcBorders>
          </w:tcPr>
          <w:p>
            <w:pPr>
              <w:spacing w:after="0"/>
              <w:rPr>
                <w:sz w:val="18"/>
                <w:szCs w:val="18"/>
                <w:color w:val="auto"/>
              </w:rPr>
            </w:pPr>
          </w:p>
        </w:tc>
      </w:tr>
      <w:tr>
        <w:trPr>
          <w:trHeight w:val="249"/>
        </w:trPr>
        <w:tc>
          <w:tcPr>
            <w:tcW w:w="80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4,194,312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4,208,294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08" w:right="339" w:bottom="848"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4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49,938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45,621</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Interest-earning deposits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4,136</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FHLB stock</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funds sold and 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57,193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52,336</w:t>
            </w:r>
          </w:p>
        </w:tc>
      </w:tr>
      <w:tr>
        <w:trPr>
          <w:trHeight w:val="209"/>
        </w:trPr>
        <w:tc>
          <w:tcPr>
            <w:tcW w:w="5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Savings deposits, NOW and money market accounts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4,468</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Time deposits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19,588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19,084</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and subordinated debentures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FHLB advances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27,685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26,173</w:t>
            </w:r>
          </w:p>
        </w:tc>
      </w:tr>
      <w:tr>
        <w:trPr>
          <w:trHeight w:val="20"/>
        </w:trPr>
        <w:tc>
          <w:tcPr>
            <w:tcW w:w="57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interest income before (reversal of)/provision for credit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29,508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26,163</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of)/provision for credit losses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r>
      <w:tr>
        <w:trPr>
          <w:trHeight w:val="20"/>
        </w:trPr>
        <w:tc>
          <w:tcPr>
            <w:tcW w:w="57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interest income after (reversal of)/provision for credit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28,908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19,417</w:t>
            </w:r>
          </w:p>
        </w:tc>
      </w:tr>
      <w:tr>
        <w:trPr>
          <w:trHeight w:val="20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charges and fees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servicing income, net of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cash surrender value of BOLI</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loans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other real estate owned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r>
      <w:tr>
        <w:trPr>
          <w:trHeight w:val="20"/>
        </w:trPr>
        <w:tc>
          <w:tcPr>
            <w:tcW w:w="57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10,643</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Data processing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Legal and professional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and business promotion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 and regulatory assessments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18,965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18,522</w:t>
            </w:r>
          </w:p>
        </w:tc>
      </w:tr>
      <w:tr>
        <w:trPr>
          <w:trHeight w:val="20"/>
        </w:trPr>
        <w:tc>
          <w:tcPr>
            <w:tcW w:w="57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12,750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r>
      <w:tr>
        <w:trPr>
          <w:trHeight w:val="20"/>
        </w:trPr>
        <w:tc>
          <w:tcPr>
            <w:tcW w:w="57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r>
      <w:tr>
        <w:trPr>
          <w:trHeight w:val="20"/>
        </w:trPr>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17,063,757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17,049,834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17,727,712</w:t>
            </w:r>
          </w:p>
        </w:tc>
      </w:tr>
      <w:tr>
        <w:trPr>
          <w:trHeight w:val="234"/>
        </w:trPr>
        <w:tc>
          <w:tcPr>
            <w:tcW w:w="5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17,174,526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17,140,478</w:t>
            </w: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17,770,588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187"/>
        </w:trPr>
        <w:tc>
          <w:tcPr>
            <w:tcW w:w="48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8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(loss)/gain on securities available for sale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4,272</w:t>
            </w:r>
          </w:p>
        </w:tc>
      </w:tr>
      <w:tr>
        <w:trPr>
          <w:trHeight w:val="230"/>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income tax effect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r>
      <w:tr>
        <w:trPr>
          <w:trHeight w:val="209"/>
        </w:trPr>
        <w:tc>
          <w:tcPr>
            <w:tcW w:w="4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(loss)/income</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11,297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5,252</w:t>
            </w:r>
          </w:p>
        </w:tc>
      </w:tr>
      <w:tr>
        <w:trPr>
          <w:trHeight w:val="20"/>
        </w:trPr>
        <w:tc>
          <w:tcPr>
            <w:tcW w:w="63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7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860" w:type="dxa"/>
            <w:vAlign w:val="bottom"/>
          </w:tcPr>
          <w:p>
            <w:pPr>
              <w:spacing w:after="0"/>
              <w:rPr>
                <w:sz w:val="24"/>
                <w:szCs w:val="24"/>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(UNAUDITED)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Loss, 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17,057,397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250,694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282,024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523,410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 on common stock ($0.16</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(2,758)</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r>
      <w:tr>
        <w:trPr>
          <w:trHeight w:val="20"/>
        </w:trPr>
        <w:tc>
          <w:tcPr>
            <w:tcW w:w="3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17,074,159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290,566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(14,283</w:t>
            </w:r>
            <w:r>
              <w:rPr>
                <w:rFonts w:ascii="Times New Roman" w:cs="Times New Roman" w:eastAsia="Times New Roman" w:hAnsi="Times New Roman"/>
                <w:sz w:val="24"/>
                <w:szCs w:val="24"/>
                <w:color w:val="auto"/>
                <w:vertAlign w:val="sub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531,054</w:t>
            </w:r>
          </w:p>
        </w:tc>
      </w:tr>
      <w:tr>
        <w:trPr>
          <w:trHeight w:val="197"/>
        </w:trPr>
        <w:tc>
          <w:tcPr>
            <w:tcW w:w="32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17,720,416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259,957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264,460</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507,877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 on common stock ($0.16</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(2,865)</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2,962</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w:t>
            </w:r>
          </w:p>
        </w:tc>
      </w:tr>
      <w:tr>
        <w:trPr>
          <w:trHeight w:val="20"/>
        </w:trPr>
        <w:tc>
          <w:tcPr>
            <w:tcW w:w="3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17,738,628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260,284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263,885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(17,295</w:t>
            </w:r>
            <w:r>
              <w:rPr>
                <w:rFonts w:ascii="Times New Roman" w:cs="Times New Roman" w:eastAsia="Times New Roman" w:hAnsi="Times New Roman"/>
                <w:sz w:val="24"/>
                <w:szCs w:val="24"/>
                <w:color w:val="auto"/>
                <w:vertAlign w:val="sub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510,306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11,300</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 of premises and equipment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accretion of securities, loans, deposits, and 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investment in affordable housing tax credits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operating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(Reversal of) provision for credit losses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Gain on sale of loans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OREO</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cash surrender value of life insurance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Loans originated for sale,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loans sold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items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(3,624)</w:t>
            </w:r>
          </w:p>
        </w:tc>
      </w:tr>
      <w:tr>
        <w:trPr>
          <w:trHeight w:val="210"/>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(54,888)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(42,382)</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Maturities, repayments and calls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45,074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89,259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other equity securities,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increase of investment in qualified affordable housing projects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loans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(110,430)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originally classified as HFI</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sales of OREO</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(21,327)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increase in demand deposits and savings accounts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219,780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23,375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(230,320)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35,440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FHLB Advances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(13,511)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257,745</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196,910</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238,823</w:t>
            </w: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26,441</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28,646</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(Refund) taxes paid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Transfer from loans to other real estate owned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Loans transferred to held for sale,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Additions to servicing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Recognition of operating lease right-of-use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Recognition of operating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RBB BANCORP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DESCRIPTION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RBB Bancorp (“RBB”) is a bank holding company registered under the Bank Holding Company Act of 1956, as amended. RBB Bancorp’s principal business is to serve as the holding company for its wholly-owned banking subsidiaries, Royal Business Bank ("Bank") and RBB Asset Management Company (“RAM”), collectively referred to herein as “the Company”. RAM was formed in 2012 to hold and manage problem assets acquired in business combinations. There are no problem assets at RAM or activity in this subsidiary for the three months ended March 31, 2026 or the year ended December 31, 2025. When we refer to “we”, “us”, “our”, or the “Company”, we are referring to RBB Bancorp and its consolidated subsidiaries including the Bank and RAM, collectively. When we refer to the “parent company”, “Bancorp”, or the “holding company”, we are referring to RBB Bancorp, the parent company, on a stand-alone basis.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March 31, 2026, we had total assets of $4.2 billion, total loans of $3.3 billion, total deposits of $3.3 billion and total shareholders' equity of $531.1 million. RBB’s common stock trades on the Nasdaq Global Select Market under the symbol “RBB”.</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Bank provides business-banking products and services predominantly to Asian-centric communities through 24 full service branches located in Los Angeles County, Orange County and Ventura County in California, Las Vegas (Nevada), the New York City metropolitan areas, Chicago (Illinois), Edison (New Jersey) and Honolulu (Hawaii). The products and services include commercial and investor real estate loans, business loans and lines of credit, Small Business Administration (“SBA”) 7A and 504 loans, mortgage loans, trade finance and a full range of depository accounts, including specialized services such as remote deposit, E-banking, mobile banking and treasury management services. Our primary source of revenue is providing loans to customers, who are predominantly small and middle-market businesses and individuals.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operate as a minority depository institution (“MDI”), which is defined by the Federal Deposit Insurance Corporation (“FDIC”) as a federally insured depository institution where 51% or more of the voting stock is owned by minority individuals or a majority of the board of directors is minority and the community that the institution serves is predominantly minority. A MDI is eligible to receive support from the FDIC and other federal regulatory agencies such as training, technical assistance and review of proposed new deposit taking and lending programs, and the adoption of applicable policies and procedures governing such programs. We intend to maintain our MDI designation, as it is expected that at least 51% of our issued and outstanding shares of capital shall remain owned by minority individuals or a majority of the board of directors is minority and the community that the institution serves is predominantly minority. The MDI designation has been historically beneficial to us, and we continue to use the program for technical assistance.</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our revenue primarily from interest received on loans and, to a lesser extent, from interest received on investment securities. We also derive income from noninterest sources, such as fees received in connection with various lending and deposit services, loan servicing, gain on sales of loans and wealth management services. Our principal expenses include interest expense on deposits and borrowings, and operating expenses, such as salaries and employee benefits, occupancy and equipment, data processing, and income tax expense.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thereto of the Company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consolidated financial statements reflect all adjustments (consisting only of normal recurring adjustments), which are necessary for a fair presentation of financial results for the interim periods presented. Certain prior period amounts have been reclassified to conform to the current period presentation. Such reclassifications had no impact on our net income or shareholders’ equity. The results of operations for the three months ended March 31, 2026 are not necessarily indicative of the results for the full year. These interim unaudited consolidated financial statements should be read in conjunction with the audited consolidated financial statements and the notes thereto as of and for the year ended December 31, 2025, included in our Annual Report on Form 10-K for the fiscal year ended December 31, 2025 (our “2025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in the Preparation of Financial Statements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It is reasonably possible that these estimates could change as actual results could differ from those estimates. The allowance for credit losses, realization of deferred tax assets, and the valuation of goodwill are particularly subject to change and such change could have a material effect on the consolidated financial statements.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Summary of Significant Accounting Policies</w:t>
      </w:r>
    </w:p>
    <w:p>
      <w:pPr>
        <w:spacing w:after="0" w:line="22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were compiled in accordance with the accounting policies set forth in “</w:t>
      </w:r>
      <w:r>
        <w:rPr>
          <w:rFonts w:ascii="Times New Roman" w:cs="Times New Roman" w:eastAsia="Times New Roman" w:hAnsi="Times New Roman"/>
          <w:sz w:val="18"/>
          <w:szCs w:val="18"/>
          <w:i w:val="1"/>
          <w:i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consolidated financial statements as of and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included in our 2025 Annual Report. The Financial Accounting Standards Board (“FASB”) issues Accounting Standards Updates (“ASU” or “Update”) and Accounting Standards Codifications (“ASC”), which are the primary source of GAAP. We have not made any changes to our significant accounting policies from those disclosed in our 2025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November of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2025-08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Financial Instruments-Credit Losses (Topic 326) – Purchased Loans. Under the guidance that currently exists in ASC Topic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purchased loans are initially recorded at fair value, and an allowance for expected credit losses is separately recognized in accordance with Topic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financial asset acquired has a “more-than-insignificant” deterioration of credit quality since its origination, it is accounted for as a purchased financial asset with credit deterioration ("PCD") using a “gross-up approach.” The gross-up approach requires recognition of an ACL for the estimate of credit losses at the acquisition date. The ACL is recorded with an offsetting gross-up adjustment to the purchase price of the acquired financial asset. If a financial asset acquired does not have “more-than-insignificant” deterioration of credit quality since its origination ("non-PCD"), the ACL is recognized with a corresponding charge to credit loss expense. The amendments in this ASU expand the population of acquired financial assets subject to the gross-up approach in Topic 326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accordance with the amendments in this ASU, loans acquired without credit deterioration and deemed “seasoned” are purchased seasoned loans and accounted for using the gross-up approach at acquisition. All non-PCD loans that are acquired in a business combination are deemed seasoned. Other non-PCD loans are seasoned if they were purchased at least 90 days after origination and the acquirer was not involved in the origination of the loans. The amendments in this ASU are effective for all entities for annual reporting periods beginning after December 15,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interim reporting periods within those annual reporting periods. Early adoption is permitted. The amendments in this ASU should be applied prospectively to loans that are acquired on or after the initial application date. The Company adopted this guidance, effective January 1,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After adoption, the Company applied the gross-up approach to recording an allowance for credit losses for purchased seasoned loans. The adoption had no impact on the Company’s consolidated financial statements at March 31,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not yet effective</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October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2023-06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Disclosure Improvements. This pronouncement amends the FASB Accounting Standards Codification to reflect updates and simplifications to certain disclosure requirements referred to the FASB by the SEC in 2018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disclosures for the statement of cash flows, earnings per share, commitments, debt and equity instruments, and certain industry information, among other things. Each amendment is effective when the related disclosure is effectively removed from Regulations S-X or S-K; early adoption is prohibited. All amendments should be applied prospectively. If the SEC has not removed the applicable requirement from Regulation S-X or Regulation S-K by June 30,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pending amendments will be removed and will not become effective for any entity. Adoption of ASU 2023-06 is not expected to have a material impact on the Company's consolidated financial statements.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2024-03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Income Statement - Reporting Comprehensive Income - Expense Disaggregation Disclosures (Subtopic 220-40). ASU 2024-03 requires disaggregated disclosure of income statement expenses within the footnotes to the financial statements for any relevant expense caption presented on the face of the income statement within continuing operations into the following required natural expense categories, as applicable: (1) purchases of inventory, (2) employee compensation, (3) depreciation, (4) intangible asset amortization, and (5) depreciation, depletion and amortization recognized as part of oil- and gas-producing activities or other types of depletion services. ASU 2024-03 is effective for annual periods beginning after December 15,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interim periods within fiscal years beginning after December 15,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Early adoption is permitted. The guidance should be applied prospectively with an option to apply it retrospectively for each period presented. Adoption of ASU 2024-03 is not expected to have a material impact on the Company's consolidated financial statements.</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December of 2025, the FASB issued ASU 2025-10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Government Grants (Topic 832) – Accounting for Government Grants Received by Business Entities. ASU 2025-10 creates authoritative guidance for business entities for the accounting for government grants. Prior to the issuance of this guidance, there was no specific authoritative guidance within GAAP regarding the recognition, measurement, and presentation of a government grant received by a business entity and, as a result, many entities used other sections of authoritative accounting literature by analogy to account for government grants that were received. The new guidance requires that a government grant received by a business entity should not be recognized until: (1) it is probable that (a) a business entity will comply with the conditions attached to the grant and (b) the grant will be received; and (2) a business entity meets the recognition guidance for a grant in ASC 832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guidance also establishes classification guidance for grants in the consolidated financial statements and prescribes disclosures of grants that include the nature of the government grant received, the accounting policies used to account for the grant, and significant terms and conditions of the grant. The amendments in this ASU are effective for annual reporting periods beginning after December 15, 2028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interim reporting periods within those annual reporting periods. Early adoption is permitted. The amendments may be adopted using either a modified prospective, modified retrospective, or prospective approach. Adoption of the new standard is not expected to have a material impact on the Company’s consolidated financial statements.</w:t>
      </w:r>
    </w:p>
    <w:p>
      <w:pPr>
        <w:spacing w:after="0" w:line="19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December of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2025-11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Interim Reporting (Topic 270) – Narrow-Scope Improvements. The guidance in ASU 2025-11 was issued to improve the guidance in ASC by clarifying the required interim disclosures and when that guidance is applicable. The amendments add to Topic 270 a principle that requires entities to disclose events since the end of the last annual reporting period that have a material impact on the entity. The new guidance does not change the fundamental nature of interim reporting or expand or reduce current interim disclosure requirements but rather provides clarity on the current interim reporting requirements. The amendments in this ASU are effective for interim reporting periods within annual reporting periods beginning after December 15,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Early adoption is permitted. The amendments in this ASU can be applied either (1) prospectively or (2) retrospectively to any or all prior periods presented in the financial statements. Management is still evaluating the provisions of ASU 2025-11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it is expected that adoption of the new guidance will not have a material impact on the Company’s interim financial reporting.</w:t>
      </w:r>
    </w:p>
    <w:p>
      <w:pPr>
        <w:sectPr>
          <w:pgSz w:w="11900" w:h="16838" w:orient="portrait"/>
          <w:cols w:equalWidth="0" w:num="1">
            <w:col w:w="11240"/>
          </w:cols>
          <w:pgMar w:left="320" w:top="121" w:right="339" w:bottom="38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investment securities available for sale (“AFS”) and held to maturity (“HTM”) and the corresponding amounts of gross unrealized gains and losses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w w:val="94"/>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SBA agency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96,715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92,274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 residential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120,104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111,332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 commercial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100,466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98,417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29,718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30,090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12,559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436,187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415,789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held to maturity</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w w:val="94"/>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SBA agency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21,326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91,049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87,178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 mortgage obligations: residential</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120,475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112,495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mortgage obligations: commercial</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102,755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100,777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30,165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426,145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(20,717)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407,204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held to maturity</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investment securities with a fair value of $46.8 million and $48.7 million were pledged to secure certificates of deposit from the State of California. One security with a fair value of $33,000 and $36,000 was pledged to secure a local agency deposit at March 31, 2026 and December 31, 2025.</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sales of investment securities during the three months ended March 31, 2026, December 31, 2025, and March 31, 2025.</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interest receivable for investment securities at March 31, 2026 and December 31, 2025 totaled $1.6 million and $1.6 million.</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show the amortized cost and fair value of the investment securities portfolio, by expected maturity, as of the dates indicated. Mortgage-backed securities are classified in accordance with their estimated average life. Expected maturities may differ from contractual maturities if borrowers have the right to call or prepay obligations with or without call or prepayment penalties.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w w:val="98"/>
              </w:rPr>
              <w:t>More than One Year to</w:t>
            </w:r>
          </w:p>
        </w:tc>
        <w:tc>
          <w:tcPr>
            <w:tcW w:w="220" w:type="dxa"/>
            <w:vAlign w:val="bottom"/>
          </w:tcPr>
          <w:p>
            <w:pPr>
              <w:spacing w:after="0"/>
              <w:rPr>
                <w:sz w:val="17"/>
                <w:szCs w:val="17"/>
                <w:color w:val="auto"/>
              </w:rPr>
            </w:pPr>
          </w:p>
        </w:tc>
        <w:tc>
          <w:tcPr>
            <w:tcW w:w="182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More than Five Years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8"/>
                <w:szCs w:val="18"/>
                <w:color w:val="auto"/>
              </w:rPr>
            </w:pPr>
          </w:p>
        </w:tc>
        <w:tc>
          <w:tcPr>
            <w:tcW w:w="14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 Ten Years</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More than Ten Years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9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220" w:type="dxa"/>
            <w:vAlign w:val="bottom"/>
          </w:tcPr>
          <w:p>
            <w:pPr>
              <w:spacing w:after="0"/>
              <w:rPr>
                <w:sz w:val="16"/>
                <w:szCs w:val="16"/>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6"/>
                <w:szCs w:val="16"/>
                <w:color w:val="auto"/>
              </w:rPr>
            </w:pPr>
          </w:p>
        </w:tc>
      </w:tr>
      <w:tr>
        <w:trPr>
          <w:trHeight w:val="212"/>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r>
      <w:tr>
        <w:trPr>
          <w:trHeight w:val="202"/>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agency securities</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11,258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20,839</w:t>
            </w: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SBA agency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6,461</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14,042</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20,404</w:t>
            </w:r>
          </w:p>
        </w:tc>
      </w:tr>
      <w:tr>
        <w:trPr>
          <w:trHeight w:val="18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41,185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51,391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92,274</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5,010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4,988</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residential</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72,760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25,347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111,332</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obligations: commercial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5,981</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51,287</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41,652</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98,417</w:t>
            </w:r>
          </w:p>
        </w:tc>
      </w:tr>
      <w:tr>
        <w:trPr>
          <w:trHeight w:val="20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29,718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29,718</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1,999</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9,153</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15,661</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2,584</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28,480</w:t>
            </w: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tax-exempt securities</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889</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11,479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9,337</w:t>
            </w:r>
          </w:p>
        </w:tc>
      </w:tr>
      <w:tr>
        <w:trPr>
          <w:trHeight w:val="20"/>
        </w:trPr>
        <w:tc>
          <w:tcPr>
            <w:tcW w:w="2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AFS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52,389</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52,478</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197,114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194,288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172,621</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158,711</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436,187</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415,789</w:t>
            </w: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Municipal tax-exempt securities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4,033</w:t>
            </w: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HTM</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4,033</w:t>
            </w:r>
          </w:p>
        </w:tc>
      </w:tr>
      <w:tr>
        <w:trPr>
          <w:trHeight w:val="183"/>
        </w:trPr>
        <w:tc>
          <w:tcPr>
            <w:tcW w:w="2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2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Government agency securities</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22,705</w:t>
            </w: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SBA agency securities</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6,496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14,724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21,180</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26,636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60,641</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87,178</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4,977</w:t>
            </w:r>
          </w:p>
        </w:tc>
      </w:tr>
      <w:tr>
        <w:trPr>
          <w:trHeight w:val="189"/>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obligations: residential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6,248</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68,422</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38,147</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112,495</w:t>
            </w:r>
          </w:p>
        </w:tc>
      </w:tr>
      <w:tr>
        <w:trPr>
          <w:trHeight w:val="19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commercial</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6,591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51,805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42,821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100,777</w:t>
            </w: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Commercial paper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19,948</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19,948</w:t>
            </w: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4,006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8,903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13,756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28,429</w:t>
            </w:r>
          </w:p>
        </w:tc>
      </w:tr>
      <w:tr>
        <w:trPr>
          <w:trHeight w:val="203"/>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Municipal tax-exempt securities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921</w:t>
            </w:r>
          </w:p>
        </w:tc>
        <w:tc>
          <w:tcPr>
            <w:tcW w:w="14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11,486</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9,515</w:t>
            </w: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AFS</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36,862</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36,858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188,808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185,150</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171,010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426,145</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407,204</w:t>
            </w:r>
          </w:p>
        </w:tc>
      </w:tr>
      <w:tr>
        <w:trPr>
          <w:trHeight w:val="183"/>
        </w:trPr>
        <w:tc>
          <w:tcPr>
            <w:tcW w:w="2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tax-exempt securities</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4,103</w:t>
            </w:r>
          </w:p>
        </w:tc>
      </w:tr>
      <w:tr>
        <w:trPr>
          <w:trHeight w:val="20"/>
        </w:trPr>
        <w:tc>
          <w:tcPr>
            <w:tcW w:w="2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21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HTM</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2,742</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1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4,103</w:t>
            </w:r>
          </w:p>
        </w:tc>
      </w:tr>
      <w:tr>
        <w:trPr>
          <w:trHeight w:val="20"/>
        </w:trPr>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gross unrealized losses of our investment securities, aggregated by investment category and the length of time individual securities have been in a continuous unrealized loss position,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80" w:type="dxa"/>
            <w:vAlign w:val="bottom"/>
          </w:tcPr>
          <w:p>
            <w:pPr>
              <w:spacing w:after="0"/>
              <w:rPr>
                <w:sz w:val="18"/>
                <w:szCs w:val="18"/>
                <w:color w:val="auto"/>
              </w:rPr>
            </w:pPr>
          </w:p>
        </w:tc>
        <w:tc>
          <w:tcPr>
            <w:tcW w:w="29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Twelve Months or More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Government agency</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SBA agency 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2,884</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residential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26,647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(4,714)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residential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50,346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(9,032)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(9,158)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obligations: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47,676</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(2,179)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20,626</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(1,736)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Municipal tax-exempt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9,337</w:t>
            </w:r>
          </w:p>
        </w:tc>
        <w:tc>
          <w:tcPr>
            <w:tcW w:w="14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(3,222)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(3,222)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AFS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102,622</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163,237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(20,840)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(21,369)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tax-exempt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shd w:val="clear" w:color="auto" w:fill="CCEEFF"/>
          </w:tcPr>
          <w:p>
            <w:pPr>
              <w:spacing w:after="0"/>
              <w:rPr>
                <w:sz w:val="16"/>
                <w:szCs w:val="16"/>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2,434</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(149)</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HTM</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(119)</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gridSpan w:val="8"/>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80" w:type="dxa"/>
            <w:vAlign w:val="bottom"/>
          </w:tcPr>
          <w:p>
            <w:pPr>
              <w:spacing w:after="0"/>
              <w:rPr>
                <w:sz w:val="24"/>
                <w:szCs w:val="24"/>
                <w:color w:val="auto"/>
              </w:rPr>
            </w:pPr>
          </w:p>
        </w:tc>
        <w:tc>
          <w:tcPr>
            <w:tcW w:w="29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Twelve Months or More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Government agency</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SBA agency 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2,962</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residential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27,573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(4,505)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Mortgage-backed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securities: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residential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53,195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(8,740)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mortgage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obligations: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49,366</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(2,130)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(2,161)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5"/>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22,577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(1,811)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Municipal tax-exempt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9,515</w:t>
            </w:r>
          </w:p>
        </w:tc>
        <w:tc>
          <w:tcPr>
            <w:tcW w:w="14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(3,052)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(3,052)</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AFS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45,653</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171,760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(20,462)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(20,717)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83"/>
        </w:trPr>
        <w:tc>
          <w:tcPr>
            <w:tcW w:w="18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Municipal tax-exempt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3,663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6"/>
                <w:szCs w:val="16"/>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HTM</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3,663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securities that were in an unrealized loss position at March 31, 2026 and December 31, 2025, were evaluated to determine whether the decline in fair value below the amortized cost basis resulted from a credit loss or other factors. We concluded that the unrealized losses were primarily attributed to yield curve movement. All SBA agency securities, mortgage-backed securities, and collateralized mortgage obligations are issued by government or government sponsored entities and have the support of the U.S. federal government. The issuers have not, to our knowledge, established any cause for default on these securities. We expect to recover the amortized cost basis of our securities and have no present intent to sell and do not expect to be required to sell securities that have declined below their cost before their anticipated recovery. As of March 31, 2026 and December 31, 2025, all of our HTM securities were rated “AA-” or above. Accordingly, no ACL was recorded as of March 31, 2026 and December 31, 2025, against HTM or AFS securities, and there was no provision for credit losses recognized for the three months ended March 31, 2026 and 2025.</w:t>
      </w:r>
    </w:p>
    <w:p>
      <w:pPr>
        <w:spacing w:after="0" w:line="18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Securities </w:t>
      </w:r>
      <w:r>
        <w:rPr>
          <w:rFonts w:ascii="Times New Roman" w:cs="Times New Roman" w:eastAsia="Times New Roman" w:hAnsi="Times New Roman"/>
          <w:sz w:val="18"/>
          <w:szCs w:val="18"/>
          <w:color w:val="auto"/>
        </w:rPr>
        <w:t>- We have several Community Reinvestment Act (“CRA”) equity investments, other bank stocks, and other equity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securities (included in “Accrued interest and other assets” in the consolidated balance sheets) totaled $28.1 million and $26.1 million as of March 31, 2026 and December 31, 2025. We recorded a net gain/(loss) (included in “Other income” in the consolidated statements of income) on such equity investments of $0, $0, and ($35,000) during the three months ended March 31, 2026, December 31, 2025, and March 31, 2025.</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 AND ALLOWANCE FOR CREDIT LOSSES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loan portfolio consists primarily of loans to borrowers within the Southern California metropolitan area, the New York City metropolitan area, Chicago (Illinois), Las Vegas (Nevada), Edison (New Jersey) and Honolulu (Hawaii). Although we seek to avoid concentrations of loans to a single industry or based upon a single class of collateral, real estate and real estate associated businesses are among the principal industries in our market area and, as a result, our loan and collateral portfolios are, to some degree, concentrated in those industries.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balances in our loan held for investment ("HFI") portfolio by loan segment and class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Loans HFI: </w:t>
            </w:r>
            <w:r>
              <w:rPr>
                <w:rFonts w:ascii="Times New Roman" w:cs="Times New Roman" w:eastAsia="Times New Roman" w:hAnsi="Times New Roman"/>
                <w:sz w:val="29"/>
                <w:szCs w:val="29"/>
                <w:b w:val="1"/>
                <w:bCs w:val="1"/>
                <w:color w:val="auto"/>
                <w:vertAlign w:val="superscript"/>
              </w:rPr>
              <w:t>(1)</w:t>
            </w:r>
          </w:p>
        </w:tc>
        <w:tc>
          <w:tcPr>
            <w:tcW w:w="120" w:type="dxa"/>
            <w:vAlign w:val="bottom"/>
            <w:vMerge w:val="restart"/>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1,682,728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1,655,382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line="216" w:lineRule="exact"/>
              <w:rPr>
                <w:sz w:val="20"/>
                <w:szCs w:val="20"/>
                <w:color w:val="auto"/>
              </w:rPr>
            </w:pPr>
            <w:r>
              <w:rPr>
                <w:rFonts w:ascii="Times New Roman" w:cs="Times New Roman" w:eastAsia="Times New Roman" w:hAnsi="Times New Roman"/>
                <w:sz w:val="16"/>
                <w:szCs w:val="16"/>
                <w:color w:val="auto"/>
              </w:rPr>
              <w:t xml:space="preserve">Commercial real estate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1,274,105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1,303,019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155,464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140,061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loans HFI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3,325,232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3,314,301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(43,888)</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loans HFI,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3,281,566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580" w:hanging="289"/>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premiums (discounts) on acquired loans and net deferred (fees) and costs on originated loans.</w:t>
      </w:r>
    </w:p>
    <w:p>
      <w:pPr>
        <w:spacing w:after="0" w:line="12" w:lineRule="exact"/>
        <w:rPr>
          <w:rFonts w:ascii="Times New Roman" w:cs="Times New Roman" w:eastAsia="Times New Roman" w:hAnsi="Times New Roman"/>
          <w:sz w:val="16"/>
          <w:szCs w:val="16"/>
          <w:color w:val="auto"/>
        </w:rPr>
      </w:pPr>
    </w:p>
    <w:p>
      <w:pPr>
        <w:ind w:left="580" w:hanging="289"/>
        <w:spacing w:after="0"/>
        <w:tabs>
          <w:tab w:leader="none" w:pos="5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non-farm and non-residential real estate loans, multifamily residential loans and non-owner occupied single-family residential loans.</w:t>
      </w:r>
    </w:p>
    <w:p>
      <w:pPr>
        <w:spacing w:after="0" w:line="2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loans with carrying values of $2.0 billion and $1.9 billion were pledged to secure advances from the FHLB. At March 31, 2026 and December 31, 2025, loans with carrying values of $89.6 million and $88.9 million were pledged to the Federal Reserve Bank of San Francisco Discount Window.</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ACL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Reserve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Reserve for</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Reserve for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6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unfunded</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unfunded</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unfunded</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Allowance</w:t>
            </w:r>
          </w:p>
        </w:tc>
      </w:tr>
      <w:tr>
        <w:trPr>
          <w:trHeight w:val="216"/>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loan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10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credit</w:t>
            </w:r>
          </w:p>
        </w:tc>
        <w:tc>
          <w:tcPr>
            <w:tcW w:w="80" w:type="dxa"/>
            <w:vAlign w:val="bottom"/>
          </w:tcPr>
          <w:p>
            <w:pPr>
              <w:spacing w:after="0"/>
              <w:rPr>
                <w:sz w:val="18"/>
                <w:szCs w:val="18"/>
                <w:color w:val="auto"/>
              </w:rPr>
            </w:pPr>
          </w:p>
        </w:tc>
        <w:tc>
          <w:tcPr>
            <w:tcW w:w="7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loan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loan</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credit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5"/>
              </w:rPr>
              <w:t>for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w:t>
            </w: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credit</w:t>
            </w:r>
          </w:p>
        </w:tc>
      </w:tr>
      <w:tr>
        <w:trPr>
          <w:trHeight w:val="238"/>
        </w:trPr>
        <w:tc>
          <w:tcPr>
            <w:tcW w:w="1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26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Beginning</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48,458</w:t>
            </w:r>
          </w:p>
        </w:tc>
      </w:tr>
      <w:tr>
        <w:trPr>
          <w:trHeight w:val="198"/>
        </w:trPr>
        <w:tc>
          <w:tcPr>
            <w:tcW w:w="1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(Reversal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of)/provision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for credit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r>
      <w:tr>
        <w:trPr>
          <w:trHeight w:val="216"/>
        </w:trPr>
        <w:tc>
          <w:tcPr>
            <w:tcW w:w="1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44,150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52,561</w:t>
            </w:r>
          </w:p>
        </w:tc>
      </w:tr>
      <w:tr>
        <w:trPr>
          <w:trHeight w:val="20"/>
        </w:trPr>
        <w:tc>
          <w:tcPr>
            <w:tcW w:w="1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28"/>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loan losses (“ALL”) for loans HFI by loan portfolio segment and class for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82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3" w:lineRule="exact"/>
        <w:rPr>
          <w:sz w:val="20"/>
          <w:szCs w:val="20"/>
          <w:color w:val="auto"/>
        </w:rPr>
      </w:pPr>
    </w:p>
    <w:p>
      <w:pPr>
        <w:ind w:left="180" w:right="40"/>
        <w:spacing w:after="0" w:line="250" w:lineRule="auto"/>
        <w:rPr>
          <w:sz w:val="20"/>
          <w:szCs w:val="20"/>
          <w:color w:val="auto"/>
        </w:rPr>
      </w:pPr>
      <w:r>
        <w:rPr>
          <w:rFonts w:ascii="Times New Roman" w:cs="Times New Roman" w:eastAsia="Times New Roman" w:hAnsi="Times New Roman"/>
          <w:sz w:val="18"/>
          <w:szCs w:val="18"/>
          <w:color w:val="auto"/>
        </w:rPr>
        <w:t>Provision for/(reversal of) credit losses Charge-offs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Recoveries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3"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(Reversal of)/provision for credit losses Charge-offs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Recoveries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082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3" w:lineRule="exact"/>
        <w:rPr>
          <w:sz w:val="20"/>
          <w:szCs w:val="20"/>
          <w:color w:val="auto"/>
        </w:rPr>
      </w:pPr>
    </w:p>
    <w:p>
      <w:pPr>
        <w:ind w:left="180" w:right="40"/>
        <w:spacing w:after="0" w:line="250" w:lineRule="auto"/>
        <w:rPr>
          <w:sz w:val="20"/>
          <w:szCs w:val="20"/>
          <w:color w:val="auto"/>
        </w:rPr>
      </w:pPr>
      <w:r>
        <w:rPr>
          <w:rFonts w:ascii="Times New Roman" w:cs="Times New Roman" w:eastAsia="Times New Roman" w:hAnsi="Times New Roman"/>
          <w:sz w:val="18"/>
          <w:szCs w:val="18"/>
          <w:color w:val="auto"/>
        </w:rPr>
        <w:t>Provision for/(reversal of) credit losses Charge-offs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Recoveries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Single-</w:t>
            </w: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family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residential</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 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220" w:type="dxa"/>
            <w:vAlign w:val="bottom"/>
          </w:tcPr>
          <w:p>
            <w:pPr>
              <w:spacing w:after="0"/>
              <w:rPr>
                <w:sz w:val="20"/>
                <w:szCs w:val="20"/>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SBA</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10"/>
          </w:tcPr>
          <w:p>
            <w:pPr>
              <w:jc w:val="center"/>
              <w:ind w:left="43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18,162</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43,888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1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Single-</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family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Construction</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and 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2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development</w:t>
            </w:r>
          </w:p>
        </w:tc>
        <w:tc>
          <w:tcPr>
            <w:tcW w:w="20" w:type="dxa"/>
            <w:vAlign w:val="bottom"/>
          </w:tcPr>
          <w:p>
            <w:pPr>
              <w:spacing w:after="0"/>
              <w:rPr>
                <w:sz w:val="20"/>
                <w:szCs w:val="20"/>
                <w:color w:val="auto"/>
              </w:rPr>
            </w:pPr>
          </w:p>
        </w:tc>
        <w:tc>
          <w:tcPr>
            <w:tcW w:w="11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industrial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SBA</w:t>
            </w:r>
          </w:p>
        </w:tc>
        <w:tc>
          <w:tcPr>
            <w:tcW w:w="1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10"/>
          </w:tcPr>
          <w:p>
            <w:pPr>
              <w:jc w:val="center"/>
              <w:ind w:left="43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18,672</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w:t>
            </w:r>
          </w:p>
        </w:tc>
        <w:tc>
          <w:tcPr>
            <w:tcW w:w="18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44,892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(1,628)</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43,888</w:t>
            </w:r>
          </w:p>
        </w:tc>
        <w:tc>
          <w:tcPr>
            <w:tcW w:w="60" w:type="dxa"/>
            <w:vAlign w:val="bottom"/>
          </w:tcPr>
          <w:p>
            <w:pPr>
              <w:spacing w:after="0"/>
              <w:rPr>
                <w:sz w:val="18"/>
                <w:szCs w:val="1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2025</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Single-</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family</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Construction</w:t>
            </w:r>
          </w:p>
        </w:tc>
        <w:tc>
          <w:tcPr>
            <w:tcW w:w="1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residential</w:t>
            </w: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 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220" w:type="dxa"/>
            <w:vAlign w:val="bottom"/>
          </w:tcPr>
          <w:p>
            <w:pPr>
              <w:spacing w:after="0"/>
              <w:rPr>
                <w:sz w:val="20"/>
                <w:szCs w:val="20"/>
                <w:color w:val="auto"/>
              </w:rPr>
            </w:pP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SBA</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10"/>
          </w:tcPr>
          <w:p>
            <w:pPr>
              <w:jc w:val="center"/>
              <w:ind w:left="43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21,879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17,518</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47,729</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6,846</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51,932</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-4131310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-3856990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-3573780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-2425065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-2150745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-1868170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-719455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-445135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-161925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20" w:space="360"/>
            <w:col w:w="7860"/>
          </w:cols>
          <w:pgMar w:left="320" w:top="121" w:right="339" w:bottom="1440" w:gutter="0" w:footer="0" w:header="0"/>
          <w:type w:val="continuous"/>
        </w:sect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categorize loans into risk categories based on relevant information about the ability of borrowers to service their debt such as current financial information, historical payment experience, collateral adequacy, credit documentation, and current economic trends, among other factors. We analyze loans individually by classifying the loans as to credit risk. This analysis typically includes larger, non-homogeneous loans such as commercial real estate (“CRE”), construction and land development (“C&amp;D”), and commercial and industrial (“C&amp;I”) loans. This analysis is performed on an ongoing basis as new information is obtained. We use the following definitions for risk ratings: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 Loans classified as pass include loans not meeting the risk ratings defined below.</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 Loans classified as special mention have a potential weakness that deserves management’s close attention. If left uncorrected,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potential weaknesses may result in deterioration of the repayment prospects for the loan or of the institution’s credit position at some future date.</w:t>
      </w:r>
    </w:p>
    <w:p>
      <w:pPr>
        <w:spacing w:after="0" w:line="15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 Loans classified as substandard are inadequately protected by the current net worth and paying capacity of the obligor 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 Loans classified as doubtful have all the weaknesses inherent in those classified as substandard, with the added characteristic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weaknesses make collection or liquidation in full highly questionable and improbable based on facts, conditions, and values that currently exist.</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loans HFI by loan portfolio segment, risk rating and vintage year as of the dates indicated. The vintage year is the year of origination, renewal or major modification.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 by Vintage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Single-family residential mortgages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88,949</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352,775</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91,296</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119,815</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488,114</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539,305</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1,681,209</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88,949</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352,775</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91,296</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120,480</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488,956</w:t>
            </w:r>
          </w:p>
        </w:tc>
        <w:tc>
          <w:tcPr>
            <w:tcW w:w="2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539,305</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967</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1,682,728</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39,575</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257,528</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157,389</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43,081</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384,841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352,850</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1,235,264</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4,276</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13,164</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22,020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25,677</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39,575</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257,528</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159,477</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43,081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390,686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383,758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1,274,105</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2,237</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5,738</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33,558</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42,314</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44,352</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128,199</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3,399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3,399</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27,694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27,694</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2,237</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5,738</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36,957</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42,314</w:t>
            </w:r>
          </w:p>
        </w:tc>
        <w:tc>
          <w:tcPr>
            <w:tcW w:w="2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72,046</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159,292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12,966</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7,963</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115,976</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138,876</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5,913</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4,709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11,954</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13,377</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5,964</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1,028</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914</w:t>
            </w:r>
          </w:p>
        </w:tc>
        <w:tc>
          <w:tcPr>
            <w:tcW w:w="2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12,672</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118,926</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152,911</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SBA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1,038</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12,168</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2,797</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19,079</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40,495</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5,779</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5,650</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1,038</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12,168</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5,061</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1,605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9,960</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22,447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52,279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3,325</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506</w:t>
            </w:r>
          </w:p>
        </w:tc>
        <w:tc>
          <w:tcPr>
            <w:tcW w:w="2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3,325</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3,917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by risk rating: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131,828</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641,175</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285,091</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165,228</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920,823</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966,874</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116,941</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3,227,960</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3,399</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10,055</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8,888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2,081</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24,778</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10,265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57,791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72,494</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131,829</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641,586</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298,755</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166,270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933,336</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1,033,553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119,903</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3,325,232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b w:val="1"/>
                <w:bCs w:val="1"/>
                <w:color w:val="auto"/>
              </w:rPr>
              <w:t>Total YTD gross charge-offs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Term Loan by Vintage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 Term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93"/>
              </w:rPr>
              <w:t>(dollars 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Single-family residential mortgages</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369,196</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98,047</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122,104</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501,580</w:t>
            </w:r>
          </w:p>
        </w:tc>
        <w:tc>
          <w:tcPr>
            <w:tcW w:w="2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209,318</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351,536</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1,652,759</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369,196</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98,047</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122,783</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503,524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209,318</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351,536</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1,655,382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537</w:t>
            </w:r>
          </w:p>
        </w:tc>
        <w:tc>
          <w:tcPr>
            <w:tcW w:w="240" w:type="dxa"/>
            <w:vAlign w:val="bottom"/>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691</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1,403</w:t>
            </w:r>
          </w:p>
        </w:tc>
        <w:tc>
          <w:tcPr>
            <w:tcW w:w="0" w:type="dxa"/>
            <w:vAlign w:val="bottom"/>
          </w:tcPr>
          <w:p>
            <w:pPr>
              <w:spacing w:after="0"/>
              <w:rPr>
                <w:sz w:val="1"/>
                <w:szCs w:val="1"/>
                <w:color w:val="auto"/>
              </w:rPr>
            </w:pPr>
          </w:p>
        </w:tc>
      </w:tr>
      <w:tr>
        <w:trPr>
          <w:trHeight w:val="148"/>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263,863</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171,328</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49,551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395,493</w:t>
            </w:r>
          </w:p>
        </w:tc>
        <w:tc>
          <w:tcPr>
            <w:tcW w:w="2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155,891</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228,915</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1,265,041</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13,249</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10,204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12,279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24,729</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263,863</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171,996</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49,551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401,371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166,763</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249,475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1,303,019</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1,383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3,296</w:t>
            </w:r>
          </w:p>
        </w:tc>
        <w:tc>
          <w:tcPr>
            <w:tcW w:w="2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4,679</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4,739</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28,059</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42,440</w:t>
            </w:r>
          </w:p>
        </w:tc>
        <w:tc>
          <w:tcPr>
            <w:tcW w:w="2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45,000</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124,083</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19,465</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27,994</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4,739</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31,446</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42,440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23,310</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53,529</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155,464</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1,246</w:t>
            </w:r>
          </w:p>
        </w:tc>
        <w:tc>
          <w:tcPr>
            <w:tcW w:w="240" w:type="dxa"/>
            <w:vAlign w:val="bottom"/>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6,929</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8,175</w:t>
            </w:r>
          </w:p>
        </w:tc>
        <w:tc>
          <w:tcPr>
            <w:tcW w:w="0" w:type="dxa"/>
            <w:vAlign w:val="bottom"/>
          </w:tcPr>
          <w:p>
            <w:pPr>
              <w:spacing w:after="0"/>
              <w:rPr>
                <w:sz w:val="1"/>
                <w:szCs w:val="1"/>
                <w:color w:val="auto"/>
              </w:rPr>
            </w:pPr>
          </w:p>
        </w:tc>
      </w:tr>
      <w:tr>
        <w:trPr>
          <w:trHeight w:val="148"/>
        </w:trPr>
        <w:tc>
          <w:tcPr>
            <w:tcW w:w="3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13,681</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2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2,645</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5,839</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99,594</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123,747</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6,014</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14,067</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14,094</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6,069</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1,046</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944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2,645</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11,262</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104,001</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140,061</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5</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SBA</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14,433</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10,718</w:t>
            </w:r>
          </w:p>
        </w:tc>
        <w:tc>
          <w:tcPr>
            <w:tcW w:w="2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9,655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10,939</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49,862</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5,762</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14,433</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5,105</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1,637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10,718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10,136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13,949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55,978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175</w:t>
            </w:r>
          </w:p>
        </w:tc>
        <w:tc>
          <w:tcPr>
            <w:tcW w:w="24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630</w:t>
            </w:r>
          </w:p>
        </w:tc>
        <w:tc>
          <w:tcPr>
            <w:tcW w:w="2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3,583</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4,397</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280" w:type="dxa"/>
            <w:vAlign w:val="bottom"/>
            <w:tcBorders>
              <w:top w:val="single" w:sz="8" w:color="CCEEFF"/>
              <w:bottom w:val="single" w:sz="8" w:color="CCEEFF"/>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tcPr>
          <w:p>
            <w:pPr>
              <w:spacing w:after="0"/>
              <w:rPr>
                <w:sz w:val="12"/>
                <w:szCs w:val="12"/>
                <w:color w:val="auto"/>
              </w:rPr>
            </w:pPr>
          </w:p>
        </w:tc>
        <w:tc>
          <w:tcPr>
            <w:tcW w:w="22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86</w:t>
            </w:r>
          </w:p>
        </w:tc>
        <w:tc>
          <w:tcPr>
            <w:tcW w:w="24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3,583</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4,397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gridSpan w:val="2"/>
            <w:shd w:val="clear" w:color="auto" w:fill="CCEEFF"/>
          </w:tcPr>
          <w:p>
            <w:pPr>
              <w:ind w:left="500"/>
              <w:spacing w:after="0" w:line="129" w:lineRule="exact"/>
              <w:rPr>
                <w:sz w:val="20"/>
                <w:szCs w:val="20"/>
                <w:color w:val="auto"/>
              </w:rPr>
            </w:pPr>
            <w:r>
              <w:rPr>
                <w:rFonts w:ascii="Times New Roman" w:cs="Times New Roman" w:eastAsia="Times New Roman" w:hAnsi="Times New Roman"/>
                <w:sz w:val="14"/>
                <w:szCs w:val="14"/>
                <w:color w:val="auto"/>
              </w:rPr>
              <w:t>YTD gross charge-offs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3"/>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8"/>
        </w:trPr>
        <w:tc>
          <w:tcPr>
            <w:tcW w:w="3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by risk rating: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Pass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665,912</w:t>
            </w:r>
          </w:p>
        </w:tc>
        <w:tc>
          <w:tcPr>
            <w:tcW w:w="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300,323</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174,065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951,753</w:t>
            </w:r>
          </w:p>
        </w:tc>
        <w:tc>
          <w:tcPr>
            <w:tcW w:w="2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384,937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642,315</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100,584</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3,219,889</w:t>
            </w:r>
          </w:p>
        </w:tc>
        <w:tc>
          <w:tcPr>
            <w:tcW w:w="0" w:type="dxa"/>
            <w:vAlign w:val="bottom"/>
          </w:tcPr>
          <w:p>
            <w:pPr>
              <w:spacing w:after="0"/>
              <w:rPr>
                <w:sz w:val="1"/>
                <w:szCs w:val="1"/>
                <w:color w:val="auto"/>
              </w:rPr>
            </w:pPr>
          </w:p>
        </w:tc>
      </w:tr>
      <w:tr>
        <w:trPr>
          <w:trHeight w:val="149"/>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Special mention</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3,387</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8,281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19,237</w:t>
            </w:r>
          </w:p>
        </w:tc>
        <w:tc>
          <w:tcPr>
            <w:tcW w:w="0" w:type="dxa"/>
            <w:vAlign w:val="bottom"/>
          </w:tcPr>
          <w:p>
            <w:pPr>
              <w:spacing w:after="0"/>
              <w:rPr>
                <w:sz w:val="1"/>
                <w:szCs w:val="1"/>
                <w:color w:val="auto"/>
              </w:rPr>
            </w:pPr>
          </w:p>
        </w:tc>
      </w:tr>
      <w:tr>
        <w:trPr>
          <w:trHeight w:val="148"/>
        </w:trPr>
        <w:tc>
          <w:tcPr>
            <w:tcW w:w="328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Substandard</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8,953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30,150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75,175</w:t>
            </w:r>
          </w:p>
        </w:tc>
        <w:tc>
          <w:tcPr>
            <w:tcW w:w="0" w:type="dxa"/>
            <w:vAlign w:val="bottom"/>
          </w:tcPr>
          <w:p>
            <w:pPr>
              <w:spacing w:after="0"/>
              <w:rPr>
                <w:sz w:val="1"/>
                <w:szCs w:val="1"/>
                <w:color w:val="auto"/>
              </w:rPr>
            </w:pPr>
          </w:p>
        </w:tc>
      </w:tr>
      <w:tr>
        <w:trPr>
          <w:trHeight w:val="148"/>
        </w:trPr>
        <w:tc>
          <w:tcPr>
            <w:tcW w:w="328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Doubtful</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 loans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666,325</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312,663</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175,103</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959,627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415,755</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679,837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104,991</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3,314,301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280" w:type="dxa"/>
            <w:vAlign w:val="bottom"/>
            <w:gridSpan w:val="2"/>
          </w:tcPr>
          <w:p>
            <w:pPr>
              <w:ind w:left="500"/>
              <w:spacing w:after="0" w:line="129" w:lineRule="exact"/>
              <w:rPr>
                <w:sz w:val="20"/>
                <w:szCs w:val="20"/>
                <w:color w:val="auto"/>
              </w:rPr>
            </w:pPr>
            <w:r>
              <w:rPr>
                <w:rFonts w:ascii="Times New Roman" w:cs="Times New Roman" w:eastAsia="Times New Roman" w:hAnsi="Times New Roman"/>
                <w:sz w:val="14"/>
                <w:szCs w:val="14"/>
                <w:b w:val="1"/>
                <w:bCs w:val="1"/>
                <w:color w:val="auto"/>
              </w:rPr>
              <w:t>Total YTD gross charge-offs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8,661</w:t>
            </w:r>
          </w:p>
        </w:tc>
        <w:tc>
          <w:tcPr>
            <w:tcW w:w="220" w:type="dxa"/>
            <w:vAlign w:val="bottom"/>
          </w:tcPr>
          <w:p>
            <w:pPr>
              <w:spacing w:after="0"/>
              <w:rPr>
                <w:sz w:val="11"/>
                <w:szCs w:val="11"/>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aging of the recorded investment in past due loans HFI, by loan segment and class,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Accruing Loans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90 Days or</w:t>
            </w: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Total Past</w:t>
            </w: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More</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Due </w:t>
            </w:r>
            <w:r>
              <w:rPr>
                <w:rFonts w:ascii="Times New Roman" w:cs="Times New Roman" w:eastAsia="Times New Roman" w:hAnsi="Times New Roman"/>
                <w:sz w:val="27"/>
                <w:szCs w:val="27"/>
                <w:b w:val="1"/>
                <w:bCs w:val="1"/>
                <w:color w:val="auto"/>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Loans HFI</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Single-family residential mortgages </w:t>
            </w:r>
            <w:r>
              <w:rPr>
                <w:rFonts w:ascii="Times New Roman" w:cs="Times New Roman" w:eastAsia="Times New Roman" w:hAnsi="Times New Roman"/>
                <w:sz w:val="25"/>
                <w:szCs w:val="25"/>
                <w:color w:val="auto"/>
                <w:vertAlign w:val="superscript"/>
              </w:rPr>
              <w:t>(2)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$ 1,675,049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$ 1,682,728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1,264,101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1,274,105</w:t>
            </w: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131,598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159,292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147,793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152,911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50,337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52,279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$ 3,272,753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$ 3,325,232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hanging="368"/>
        <w:spacing w:after="0"/>
        <w:tabs>
          <w:tab w:leader="none" w:pos="7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due loans exclude nonaccrual loans.</w:t>
      </w:r>
    </w:p>
    <w:p>
      <w:pPr>
        <w:spacing w:after="0" w:line="12" w:lineRule="exact"/>
        <w:rPr>
          <w:rFonts w:ascii="Times New Roman" w:cs="Times New Roman" w:eastAsia="Times New Roman" w:hAnsi="Times New Roman"/>
          <w:sz w:val="16"/>
          <w:szCs w:val="16"/>
          <w:color w:val="auto"/>
        </w:rPr>
      </w:pPr>
    </w:p>
    <w:p>
      <w:pPr>
        <w:ind w:left="700" w:hanging="368"/>
        <w:spacing w:after="0"/>
        <w:tabs>
          <w:tab w:leader="none" w:pos="7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SFR mortgage loans in the process of foreclosure as of March 31, 2026.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Accruing Loans</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90 Days or</w:t>
            </w:r>
          </w:p>
        </w:tc>
        <w:tc>
          <w:tcPr>
            <w:tcW w:w="9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Total Past</w:t>
            </w: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30-59 Days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60-89 Days</w:t>
            </w:r>
          </w:p>
        </w:tc>
        <w:tc>
          <w:tcPr>
            <w:tcW w:w="2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More</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Due </w:t>
            </w:r>
            <w:r>
              <w:rPr>
                <w:rFonts w:ascii="Times New Roman" w:cs="Times New Roman" w:eastAsia="Times New Roman" w:hAnsi="Times New Roman"/>
                <w:sz w:val="27"/>
                <w:szCs w:val="27"/>
                <w:b w:val="1"/>
                <w:bCs w:val="1"/>
                <w:color w:val="auto"/>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Loans HFI</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Single-family residential mortgages </w:t>
            </w:r>
            <w:r>
              <w:rPr>
                <w:rFonts w:ascii="Times New Roman" w:cs="Times New Roman" w:eastAsia="Times New Roman" w:hAnsi="Times New Roman"/>
                <w:sz w:val="25"/>
                <w:szCs w:val="25"/>
                <w:color w:val="auto"/>
                <w:vertAlign w:val="superscript"/>
              </w:rPr>
              <w:t>(2)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1,321</w:t>
            </w: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1,646,778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1,655,382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1,294,373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1,303,019</w:t>
            </w: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27,994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127,470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155,464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133,668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140,061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w:t>
            </w:r>
          </w:p>
        </w:tc>
        <w:tc>
          <w:tcPr>
            <w:tcW w:w="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54,215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66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2,075</w:t>
            </w:r>
          </w:p>
        </w:tc>
        <w:tc>
          <w:tcPr>
            <w:tcW w:w="66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8,789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3,260,880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3,314,301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00" w:hanging="368"/>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Past due loans exclude nonaccrual loans.</w:t>
      </w:r>
    </w:p>
    <w:p>
      <w:pPr>
        <w:spacing w:after="0" w:line="12" w:lineRule="exact"/>
        <w:rPr>
          <w:rFonts w:ascii="Times New Roman" w:cs="Times New Roman" w:eastAsia="Times New Roman" w:hAnsi="Times New Roman"/>
          <w:sz w:val="16"/>
          <w:szCs w:val="16"/>
          <w:color w:val="auto"/>
        </w:rPr>
      </w:pPr>
    </w:p>
    <w:p>
      <w:pPr>
        <w:ind w:left="700" w:hanging="368"/>
        <w:spacing w:after="0"/>
        <w:tabs>
          <w:tab w:leader="none" w:pos="7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Nonaccrual SFR mortgage loans include $680,000 of loans in the process of foreclosure.</w:t>
      </w:r>
    </w:p>
    <w:p>
      <w:pPr>
        <w:spacing w:after="0" w:line="22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loans HFI on nonaccrual status and the balance of such loans with no ALL, by loan segment and class,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with no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with no</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20"/>
                <w:szCs w:val="20"/>
                <w:color w:val="auto"/>
              </w:rPr>
            </w:pPr>
          </w:p>
        </w:tc>
        <w:tc>
          <w:tcPr>
            <w:tcW w:w="12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20"/>
                <w:szCs w:val="20"/>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Loan Loss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for Loan Loss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SBA</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44,632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amortized cost basis of individually evaluated collateral-dependent loans, by loan segment and class, and type of collateral which secures such loans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Type of Collateral</w:t>
            </w: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Residential Real</w:t>
            </w:r>
          </w:p>
        </w:tc>
        <w:tc>
          <w:tcPr>
            <w:tcW w:w="240" w:type="dxa"/>
            <w:vAlign w:val="bottom"/>
          </w:tcPr>
          <w:p>
            <w:pPr>
              <w:spacing w:after="0"/>
              <w:rPr>
                <w:sz w:val="16"/>
                <w:szCs w:val="16"/>
                <w:color w:val="auto"/>
              </w:rPr>
            </w:pPr>
          </w:p>
        </w:tc>
        <w:tc>
          <w:tcPr>
            <w:tcW w:w="1600" w:type="dxa"/>
            <w:vAlign w:val="bottom"/>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Commercial Real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 Class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Estate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7,717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9,137</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8,303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27,694</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5,116</w:t>
            </w: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27,434</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17,134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44,568</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73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1"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Type of Collateral</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Residential</w:t>
            </w:r>
          </w:p>
        </w:tc>
        <w:tc>
          <w:tcPr>
            <w:tcW w:w="120" w:type="dxa"/>
            <w:vAlign w:val="bottom"/>
          </w:tcPr>
          <w:p>
            <w:pPr>
              <w:spacing w:after="0"/>
              <w:rPr>
                <w:sz w:val="16"/>
                <w:szCs w:val="16"/>
                <w:color w:val="auto"/>
              </w:rPr>
            </w:pPr>
          </w:p>
        </w:tc>
        <w:tc>
          <w:tcPr>
            <w:tcW w:w="1120" w:type="dxa"/>
            <w:vAlign w:val="bottom"/>
            <w:gridSpan w:val="2"/>
          </w:tcPr>
          <w:p>
            <w:pPr>
              <w:jc w:val="right"/>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Loan Class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Pr>
          <w:p>
            <w:pPr>
              <w:spacing w:after="0"/>
              <w:rPr>
                <w:sz w:val="20"/>
                <w:szCs w:val="20"/>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Business Assets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8,158</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27,994</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5,116</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w:t>
            </w: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17,823</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44,632</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did not recognize any interest income on nonaccrual loans while the loans were in nonaccrual status during 2026 or 2025.</w:t>
      </w:r>
    </w:p>
    <w:p>
      <w:pPr>
        <w:spacing w:after="0" w:line="22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Modifications to Borrowers Experiencing Financial Difficulty </w:t>
      </w:r>
      <w:r>
        <w:rPr>
          <w:rFonts w:ascii="Times New Roman" w:cs="Times New Roman" w:eastAsia="Times New Roman" w:hAnsi="Times New Roman"/>
          <w:sz w:val="18"/>
          <w:szCs w:val="18"/>
          <w:color w:val="auto"/>
        </w:rPr>
        <w:t>- In cases where a borrower is experiencing financial difficulties,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certain concessionary modifications to the contractual terms. These concessions may include term extension, payment delay, principal forgiveness, an interest rate reduction, or other actions intended to minimize potential losses. We may provide multiple types of concessions on one loan. When principal forgiveness is provided, the amount of forgiveness is charged-off against the allowance for loan losses. Loans modified to borrowers experiencing financial difficulty are individually evaluated for purposes of the allowance for loan losses.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tables present loan modifications made to borrowers experiencing financial difficulty by type of modification for the period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Payment Deferral</w:t>
            </w:r>
          </w:p>
        </w:tc>
        <w:tc>
          <w:tcPr>
            <w:tcW w:w="180" w:type="dxa"/>
            <w:vAlign w:val="bottom"/>
          </w:tcPr>
          <w:p>
            <w:pPr>
              <w:spacing w:after="0"/>
              <w:rPr>
                <w:sz w:val="18"/>
                <w:szCs w:val="18"/>
                <w:color w:val="auto"/>
              </w:rPr>
            </w:pPr>
          </w:p>
        </w:tc>
        <w:tc>
          <w:tcPr>
            <w:tcW w:w="2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Loan Modifications</w:t>
            </w:r>
          </w:p>
        </w:tc>
        <w:tc>
          <w:tcPr>
            <w:tcW w:w="160" w:type="dxa"/>
            <w:vAlign w:val="bottom"/>
          </w:tcPr>
          <w:p>
            <w:pPr>
              <w:spacing w:after="0"/>
              <w:rPr>
                <w:sz w:val="18"/>
                <w:szCs w:val="18"/>
                <w:color w:val="auto"/>
              </w:rPr>
            </w:pPr>
          </w:p>
        </w:tc>
      </w:tr>
      <w:tr>
        <w:trPr>
          <w:trHeight w:val="187"/>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 of Loan</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 of Loan</w:t>
            </w:r>
          </w:p>
        </w:tc>
        <w:tc>
          <w:tcPr>
            <w:tcW w:w="160" w:type="dxa"/>
            <w:vAlign w:val="bottom"/>
          </w:tcPr>
          <w:p>
            <w:pPr>
              <w:spacing w:after="0"/>
              <w:rPr>
                <w:sz w:val="16"/>
                <w:szCs w:val="16"/>
                <w:color w:val="auto"/>
              </w:rPr>
            </w:pP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 Class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6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SBA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1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Borders>
              <w:bottom w:val="single" w:sz="8" w:color="auto"/>
            </w:tcBorders>
          </w:tcPr>
          <w:p>
            <w:pPr>
              <w:spacing w:after="0"/>
              <w:rPr>
                <w:sz w:val="18"/>
                <w:szCs w:val="18"/>
                <w:color w:val="auto"/>
              </w:rPr>
            </w:pPr>
          </w:p>
        </w:tc>
        <w:tc>
          <w:tcPr>
            <w:tcW w:w="1560" w:type="dxa"/>
            <w:vAlign w:val="bottom"/>
            <w:gridSpan w:val="3"/>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0.02</w:t>
            </w:r>
            <w:r>
              <w:rPr>
                <w:rFonts w:ascii="Times New Roman" w:cs="Times New Roman" w:eastAsia="Times New Roman" w:hAnsi="Times New Roman"/>
                <w:sz w:val="24"/>
                <w:szCs w:val="24"/>
                <w:color w:val="auto"/>
                <w:vertAlign w:val="superscript"/>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0.02</w:t>
            </w:r>
            <w:r>
              <w:rPr>
                <w:rFonts w:ascii="Times New Roman" w:cs="Times New Roman" w:eastAsia="Times New Roman" w:hAnsi="Times New Roman"/>
                <w:sz w:val="24"/>
                <w:szCs w:val="24"/>
                <w:color w:val="auto"/>
                <w:vertAlign w:val="superscript"/>
              </w:rPr>
              <w:t>%</w:t>
            </w: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Modifications for the three months ended March 31, 2026, included weighted average payment deferrals of 3 months.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loans modified to borrowers experiencing financial difficulty during the three months ended March 31, 2025.</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we had no commitments to lend to borrowers experiencing financial difficulty whose loans were modified during the period. We closely monitor the performance of loans modified to borrowers experiencing financial difficulty to understand the effectiveness of our modification efforts. The following table provides the aging information for loans that were modified over the last 12 months by loan class as of March 31,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More Past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 Class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Current </w:t>
            </w:r>
            <w:r>
              <w:rPr>
                <w:rFonts w:ascii="Times New Roman" w:cs="Times New Roman" w:eastAsia="Times New Roman" w:hAnsi="Times New Roman"/>
                <w:sz w:val="27"/>
                <w:szCs w:val="27"/>
                <w:b w:val="1"/>
                <w:bCs w:val="1"/>
                <w:color w:val="auto"/>
                <w:vertAlign w:val="superscript"/>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Due (2)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w:t>
            </w:r>
          </w:p>
        </w:tc>
      </w:tr>
      <w:tr>
        <w:trPr>
          <w:trHeight w:val="20"/>
        </w:trPr>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20,103</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660" w:right="20" w:hanging="328"/>
        <w:spacing w:after="0" w:line="260" w:lineRule="auto"/>
        <w:tabs>
          <w:tab w:leader="none" w:pos="7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CRE loans totaling $3.1 million, C&amp;I loans totaling $4.7 million, and SBA loans totaling $134,000 which are current in payments, however remain on nonaccrual at March 31, 2026. None of these loans have defaulted on their modified terms in the last 12 months.</w:t>
      </w:r>
    </w:p>
    <w:p>
      <w:pPr>
        <w:ind w:left="660" w:hanging="328"/>
        <w:spacing w:after="0" w:line="288" w:lineRule="auto"/>
        <w:tabs>
          <w:tab w:leader="none" w:pos="70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CRE loans totaling $4.4 million which remain on nonaccrual at March 31, 2026. None of these loans have defaulted on their modified terms in the last 12 months.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defaults of loans that had been modified within the previous 12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 SERVICING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loans being serviced for others are not reported as assets in our consolidated balance sheets. The table below presents the underlying principal balances of the loans serviced for others, by loan portfolio segment,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Loans serviced for others: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Single-family residential mortgage</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788,514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833,704</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SBA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90,364</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9,018</w:t>
            </w:r>
          </w:p>
        </w:tc>
      </w:tr>
      <w:tr>
        <w:trPr>
          <w:trHeight w:val="234"/>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Servicing income is recorded for fees earned for servicing loans. The fees are based on a contractual percentage of the outstanding principal. The amortization of mortgage servicing assets is net against loan servicing income. Loan servicing income, net of amortization, totaled $504,000, $556,000, and $588,000 for the three months ended March 31, 2026, December 31, 2025, and March 31, 2025.</w:t>
      </w:r>
    </w:p>
    <w:p>
      <w:pPr>
        <w:sectPr>
          <w:pgSz w:w="11900" w:h="16838" w:orient="portrait"/>
          <w:cols w:equalWidth="0" w:num="1">
            <w:col w:w="11240"/>
          </w:cols>
          <w:pgMar w:left="320" w:top="108"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08" w:right="339"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mortgage and SBA loans are sold with servicing retained, servicing assets are initially recorded at fair value with the income statement effect recorded in gains on sales of loans. Fair value is based on a valuation model that calculates the present value of estimated future net servicing income. All classes of servicing assets are subsequently measured using the amortization method, which requires servicing assets to be amortized into noninterest income in proportion to, and over the period of, the estimated future net servicing income of the underlying loans.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Servicing assets are evaluated for impairment based upon the fair value of the assets as compared to carrying amount. Impairment is recognized through a valuation allowance for an individual grouping, to the extent that fair value is less than the carrying amount. If we later determine that all or a portion of the impairment no longer exists for a particular grouping, a reduction of the allowance may be recorded as an increase to income.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the activity in the servicing assets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8"/>
                <w:szCs w:val="18"/>
                <w:color w:val="auto"/>
              </w:rPr>
            </w:pPr>
          </w:p>
        </w:tc>
        <w:tc>
          <w:tcPr>
            <w:tcW w:w="252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18"/>
                <w:szCs w:val="18"/>
                <w:color w:val="auto"/>
              </w:rPr>
            </w:pPr>
          </w:p>
        </w:tc>
        <w:tc>
          <w:tcPr>
            <w:tcW w:w="23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SBA</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SBA</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Mortgage</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SBA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Servicing assets:</w:t>
            </w:r>
          </w:p>
        </w:tc>
        <w:tc>
          <w:tcPr>
            <w:tcW w:w="1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14"/>
        </w:trPr>
        <w:tc>
          <w:tcPr>
            <w:tcW w:w="31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Payoffs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Estimates of the loan servicing asset fair value are derived through a discounted cash flow analysis. Portfolio characteristics include loan delinquency rates, age of loans, note rate and geography. The assumptions embedded in the valuation are obtained from a range of metrics utilized by active buyers in the marketplace. The analysis accounts for recent transactions, and supply and demand within the market.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servicing assets for mortgage loans was $9.5 million and $9.7 million as of March 31, 2026 and December 31, 2025. This fair value at March 31, 2026 was determined using an average discount rate of 10.06%, average prepayment speed of 7.59%, depending on the stratification of the specific right, and a weighted-average default rate of 0.09%. This fair value at December 31, 2025 was determined using an average discount rate of 10.09%, average prepayment speed of 7.93%, depending on the stratification of the specific right, and a weighted-average default rate of 0.11%</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servicing assets for SBA loans was $1.8 million and $1.8 million as of March 31, 2026 and December 31, 2025. This fair value at March 31, 2026 was determined using an average discount rate of 8.5%, average prepayment speed of 27.25%, depending on the stratification of the specific right, and a weighted-average default rate of 0.87%. This fair value at December 31, 2025 was determined using an average discount rate of 8.5%, average prepayment speed of 26.99%, depending on the stratification of the specific right, and a weighted-average default rate of 1.13%.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Goodwill is generally determined as the excess of the fair value of the consideration transferred, plus the fair value of any noncontrolling interests in the acquiree, over the fair value of the net assets acquired and liabilities assumed as of the acquisition date. Goodwill resulting from whole bank and branch acquisitions is tested for impairment at least annually during the fourth quarter of each year, and more frequently, if events or circumstances indicate the value of goodwill may be impaired. We completed our most recent evaluation of goodwill as of October 1, 2025 and determined that no goodwill impairment existed. Goodwill amounted to $71.5 million at both March 31, 2026 and December 31, 2025 and is the only intangible asset with an indefinite life on our consolidated balance sheets. There were no triggering events during the three months ended March 31, 2026 that caused management to evaluate goodwill for a quantitative impairment analysis as of March 31, 2026</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intangible assets include core deposit intangible (“CDI”) assets arising from whole bank and branch acquisitions. CDI assets are amortized on an accelerated method over their estimated useful life of 8 to 10 years. The unamortized balance (included in “Accrued interest and other assets” in the consolidated balance sheets) at March 31, 2026 and December 31, 2025 was $1.2 million and $1.3 million. CDI amortization expense was $134,000, $156,000, and $172,000 for the three months ended March 31, 2026, December 31, 2025, and March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Estimated CDI amortization expense for future years is as follows: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CDI Amortization</w:t>
            </w:r>
          </w:p>
        </w:tc>
        <w:tc>
          <w:tcPr>
            <w:tcW w:w="0" w:type="dxa"/>
            <w:vAlign w:val="bottom"/>
          </w:tcPr>
          <w:p>
            <w:pPr>
              <w:spacing w:after="0"/>
              <w:rPr>
                <w:sz w:val="1"/>
                <w:szCs w:val="1"/>
                <w:color w:val="auto"/>
              </w:rPr>
            </w:pPr>
          </w:p>
        </w:tc>
      </w:tr>
      <w:tr>
        <w:trPr>
          <w:trHeight w:val="238"/>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0" w:type="dxa"/>
            <w:vAlign w:val="bottom"/>
          </w:tcPr>
          <w:p>
            <w:pPr>
              <w:spacing w:after="0"/>
              <w:rPr>
                <w:sz w:val="1"/>
                <w:szCs w:val="1"/>
                <w:color w:val="auto"/>
              </w:rPr>
            </w:pPr>
          </w:p>
        </w:tc>
      </w:tr>
      <w:tr>
        <w:trPr>
          <w:trHeight w:val="238"/>
        </w:trPr>
        <w:tc>
          <w:tcPr>
            <w:tcW w:w="6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p>
        </w:tc>
        <w:tc>
          <w:tcPr>
            <w:tcW w:w="0" w:type="dxa"/>
            <w:vAlign w:val="bottom"/>
          </w:tcPr>
          <w:p>
            <w:pPr>
              <w:spacing w:after="0"/>
              <w:rPr>
                <w:sz w:val="1"/>
                <w:szCs w:val="1"/>
                <w:color w:val="auto"/>
              </w:rPr>
            </w:pPr>
          </w:p>
        </w:tc>
      </w:tr>
      <w:tr>
        <w:trPr>
          <w:trHeight w:val="216"/>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DEPOSITS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 March 31, 2026, the scheduled maturities of time deposits are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$250,000 and</w:t>
            </w:r>
          </w:p>
        </w:tc>
        <w:tc>
          <w:tcPr>
            <w:tcW w:w="18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Greater than</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Time Deposits Expected Maturity Date at March 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8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6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w w:val="87"/>
              </w:rPr>
              <w:t>(dollars in thousands)</w:t>
            </w:r>
          </w:p>
        </w:tc>
        <w:tc>
          <w:tcPr>
            <w:tcW w:w="200" w:type="dxa"/>
            <w:vAlign w:val="bottom"/>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1,625,728</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863,717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773,550</w:t>
            </w:r>
          </w:p>
        </w:tc>
        <w:tc>
          <w:tcPr>
            <w:tcW w:w="1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1,637,267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Time deposits include deposits acquired through both retail and wholesale channels. Wholesale channels include brokered deposits, collateralized deposits from the State of California, and deposits acquired through internet listing services. Wholesale time deposits totaled $163.8 million at March 31, 2026 and $225.7 million at December 31, 2025. Brokered time deposits were $90.9 million at March 31, 2026 and $145.5 million at December 31, 2025. Collateralized deposits from the State of California totaled $40.0 million at March 31, 2026 and December 31, 2025. Time deposits acquired through internet listing services totaled $32.9 million at March 31, 2026 and $40.2 million at December 31, 2025.</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offer retail deposit products where customers are able to achieve FDIC insurance for balances on deposit in excess of the $250,000 FDIC insurance limit through the Certificate of Deposit Account Registry Service (“CDARS”) and Insured Cash Sweeps (“ICS”) programs. Time deposits held through the CDARS program were $139.8 million at March 31, 2026 and $128.3 million at December 31, 2025. ICS deposits totaled $149.1 million at March 31, 2026 and $156.3 million at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long-term debt consists of $120.0 million of fixed-to-floating rate subordinated notes, with an April 1, 2031 maturity date (the "2031 Subordinated Notes"). The interest rate was fixed at 4.00% through March 31, 2026, and now resets quarterly to a rate of three-month Secured Overnight Financing Rate ("SOFR") plus 329 basis points starting April 1, 2026. The rate was set at 6.97% as of April 1, 2026. The 2031 Subordinated Notes are considered Tier 2 capital at the Company and are redeemable beginning April 1, 2026.</w:t>
      </w:r>
    </w:p>
    <w:p>
      <w:pPr>
        <w:spacing w:after="0" w:line="180" w:lineRule="exact"/>
        <w:rPr>
          <w:sz w:val="20"/>
          <w:szCs w:val="20"/>
          <w:color w:val="auto"/>
        </w:rPr>
      </w:pPr>
    </w:p>
    <w:p>
      <w:pPr>
        <w:jc w:val="both"/>
        <w:ind w:firstLine="514"/>
        <w:spacing w:after="0" w:line="261" w:lineRule="auto"/>
        <w:rPr>
          <w:sz w:val="20"/>
          <w:szCs w:val="20"/>
          <w:color w:val="auto"/>
        </w:rPr>
      </w:pPr>
      <w:r>
        <w:rPr>
          <w:rFonts w:ascii="Times New Roman" w:cs="Times New Roman" w:eastAsia="Times New Roman" w:hAnsi="Times New Roman"/>
          <w:sz w:val="18"/>
          <w:szCs w:val="18"/>
          <w:color w:val="auto"/>
        </w:rPr>
        <w:t>We recorded interest expense on such subordinated notes of $1.2 million for each of the three month periods ended March 31, 2026, December 31, 2025, and March 31, 2025. We also recorded debt issuance cost amortization expense of $89,000, $95,000 and $95,000 for the three months ended March 31, 2026, December 31, 2025, and March 31, 2025. The unamortized debt issuance cost was zero as of March 31, 2026. We were in compliance with all covenants for the 2031 Subordinated Notes as of March 31,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SUBORDINATED DEBENTURES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Subordinated debentures consist of subordinated debentures issued in connection with three separate trust preferred securities and totaled $15.4 million and $15.4 million as of March 31, 2026 and December 31, 2025. Under the terms of our subordinated debentures issued in connection with the issuance of trust preferred securities, we are not permitted to declare or pay any dividends on our capital stock if an event of default occurs under the terms of the long-term debt. In addition, we have the option to defer interest payments on the subordinated debentures from time to time for a period not to exceed five consecutive years. The subordinated debentures may be included in Tier 1 capital (with certain limitations applicable) under current regulatory guidelines and interpretations. We may redeem the subordinated debentures, subject to prior approval by the Board of Governors of the Federal Reserve System at 100% of the principal amount, plus accrued and unpaid interest. These subordinated debentures consist of the following at March 31, 2026 and are described in detail after the table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0" w:type="dxa"/>
            <w:vAlign w:val="bottom"/>
          </w:tcPr>
          <w:p>
            <w:pPr>
              <w:spacing w:after="0"/>
              <w:rPr>
                <w:sz w:val="1"/>
                <w:szCs w:val="1"/>
                <w:color w:val="auto"/>
              </w:rPr>
            </w:pPr>
          </w:p>
        </w:tc>
      </w:tr>
      <w:tr>
        <w:trPr>
          <w:trHeight w:val="23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Subordinated</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20" w:type="dxa"/>
            <w:vAlign w:val="bottom"/>
          </w:tcPr>
          <w:p>
            <w:pPr>
              <w:spacing w:after="0"/>
              <w:rPr>
                <w:sz w:val="20"/>
                <w:szCs w:val="20"/>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Stated Rate Description</w:t>
            </w: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0" w:type="dxa"/>
            <w:vAlign w:val="bottom"/>
          </w:tcPr>
          <w:p>
            <w:pPr>
              <w:spacing w:after="0"/>
              <w:rPr>
                <w:sz w:val="1"/>
                <w:szCs w:val="1"/>
                <w:color w:val="auto"/>
              </w:rPr>
            </w:pPr>
          </w:p>
        </w:tc>
      </w:tr>
      <w:tr>
        <w:trPr>
          <w:trHeight w:val="187"/>
        </w:trPr>
        <w:tc>
          <w:tcPr>
            <w:tcW w:w="1120" w:type="dxa"/>
            <w:vAlign w:val="bottom"/>
            <w:vMerge w:val="continue"/>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3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TFC Trust</w:t>
            </w:r>
          </w:p>
        </w:tc>
        <w:tc>
          <w:tcPr>
            <w:tcW w:w="1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12/22/2006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4,169</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plus 1.65%</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3/15/2037</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FAIC Trust</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12/15/2004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6,548</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plus 2.25%</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12/15/2034</w:t>
            </w: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4,712</w:t>
            </w:r>
          </w:p>
        </w:tc>
        <w:tc>
          <w:tcPr>
            <w:tcW w:w="3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PGBH Trust</w:t>
            </w:r>
          </w:p>
        </w:tc>
        <w:tc>
          <w:tcPr>
            <w:tcW w:w="1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12/15/2004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plus 2.10%</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12/15/2034</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15,429</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2016, we acquired TFC Statutory Trust (the “TFC Trust”) through the acquisition of Tomato Bank and its holding company, TFC Holding Company. At the close of this acquisition, a $1.9 million valuation reserve was recorded to arrive at its fair market value, which is treated as a yield adjustment and amortized over the life of the security. The unamortized valuation reserve was $986,000 at March 31, 2026 and $1.0 million at December 31, 2025. The subordinated debentures have a variable rate of interest equal to three-month CME Term SOFR plus applicable tenor spread adjustment of 0.26% plus 1.65%, which was 5.59% as of March 31, 2026 and 5.63% at December 31, 2025.</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October 2018, we acquired First American International Statutory Trust I (“FAIC Trust”) through the acquisition of First American International Corp. (“FAIC”). At the close of this acquisition, a $1.2 million valuation reserve was recorded to arrive at its fair market value, which is treated as a yield adjustment and amortized over the life of the security. The unamortized valuation reserve was $669,000 at March 31, 2026 and $688,000 at December 31, 2025. The subordinated debentures have a variable rate of interest equal to three-month CME Term SOFR plus applicable tenor spread adjustment of 0.26% plus 2.25%, which was 6.19% as of March 31, 2026 and 6.23% at December 31, 2025.</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January 2020, we acquired Pacific Global Bank Trust I (“PGBH Trust”) through the acquisition of PGB Holdings, Inc. At the close of this acquisition, a $763,000 valuation reserve was recorded to arrive at its fair market value, which is treated as a yield adjustment and amortized over the life of the security. The unamortized valuation reserve was $443,000 at March 31, 2026 and $456,000 at December 31, 2025. The subordinated debentures have a variable rate of interest equal to three-month CME Term SOFR plus applicable tenor spread adjustment of 0.26% plus 2.10%, which was 6.04% as of March 31, 2026 and 6.08% at December 31, 2025.</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recorded interest expense on the subordinated debentures of $255,000, $273,000, and $282,000 for the three months ended March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March 31, 2025. The aggregate amount of amortization expense was $55,000 for each of the three months ended March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March 31, 2025. We were in compliance with all covenants under the subordinated debentures as of March 31, 2026.</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regulatory reporting purposes, the Federal Reserve has indicated that the capital or trust preferred securities qualify as Tier 1 capital of the Company subject to previously specified limitations (including that the asset size of the issuer did not exceed $15 billion). If regulators make a determination that the capital securities can no longer be considered in regulatory capital, the securities become callable and we may redeem them.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BORROWING ARRANGEMENTS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established secured and unsecured lines of credit. We may borrow funds from time to time on a term or overnight basis from the Federal Home Loan Bank of San Francisco (“FHLB”), the Federal Reserve Bank of San Francisco (“FRB”) and other financial institutions as indicated below.</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FHLB Secured Line of Credit and Advances. </w:t>
      </w:r>
      <w:r>
        <w:rPr>
          <w:rFonts w:ascii="Times New Roman" w:cs="Times New Roman" w:eastAsia="Times New Roman" w:hAnsi="Times New Roman"/>
          <w:sz w:val="18"/>
          <w:szCs w:val="18"/>
          <w:color w:val="auto"/>
        </w:rPr>
        <w:t>At March 31, 2026, we had a secured borrowing capacity with the FHLB of $1.5 billion collateralized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pledged residential and commercial loans with a carrying value of $2.0 billion. At March 31, 2026, we had no overnight advances, $20.0 million in term advances, and $110.0 million of putable term advances. The weighted average rate of FHLB advances was 3.49% at March 31, 2026. The remaining secured borrowing capacity with the FHLB was $1.4 billion as of March 31, 2026.</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0"/>
        </w:trPr>
        <w:tc>
          <w:tcPr>
            <w:tcW w:w="868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The details of the FHLB term advances outstanding at March 31, 2026, are shown in the table below:</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Final Stated</w:t>
            </w:r>
          </w:p>
        </w:tc>
      </w:tr>
      <w:tr>
        <w:trPr>
          <w:trHeight w:val="238"/>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Advance Date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60" w:type="dxa"/>
            <w:vAlign w:val="bottom"/>
          </w:tcPr>
          <w:p>
            <w:pPr>
              <w:spacing w:after="0"/>
              <w:rPr>
                <w:sz w:val="20"/>
                <w:szCs w:val="20"/>
                <w:color w:val="auto"/>
              </w:rPr>
            </w:pPr>
          </w:p>
        </w:tc>
        <w:tc>
          <w:tcPr>
            <w:tcW w:w="39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Call Structure</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Call Date</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10"/>
        </w:trPr>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5/8/2025</w:t>
            </w:r>
          </w:p>
        </w:tc>
        <w:tc>
          <w:tcPr>
            <w:tcW w:w="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One time call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5/10/2028</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6/23/2025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One time call</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6/23/2028</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5/10/2028</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8/14/2025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5/14/2026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8/14/2028</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3/12/2025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6/12/2026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3/12/2029</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6/15/2026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3/15/2029</w:t>
            </w:r>
          </w:p>
        </w:tc>
      </w:tr>
      <w:tr>
        <w:trPr>
          <w:trHeight w:val="216"/>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400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Quarterly call </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5/8/2026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5/8/2029</w:t>
            </w: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6/23/2025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40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Quarterly call </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6/23/2028</w:t>
            </w:r>
          </w:p>
        </w:tc>
      </w:tr>
      <w:tr>
        <w:trPr>
          <w:trHeight w:val="229"/>
        </w:trPr>
        <w:tc>
          <w:tcPr>
            <w:tcW w:w="12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Total</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7" w:lineRule="exact"/>
        <w:rPr>
          <w:sz w:val="20"/>
          <w:szCs w:val="20"/>
          <w:color w:val="auto"/>
        </w:rPr>
      </w:pPr>
    </w:p>
    <w:p>
      <w:pPr>
        <w:ind w:left="420"/>
        <w:spacing w:after="0"/>
        <w:tabs>
          <w:tab w:leader="none" w:pos="820" w:val="left"/>
        </w:tabs>
        <w:rPr>
          <w:sz w:val="20"/>
          <w:szCs w:val="20"/>
          <w:color w:val="auto"/>
        </w:rPr>
      </w:pPr>
      <w:r>
        <w:rPr>
          <w:rFonts w:ascii="Times New Roman" w:cs="Times New Roman" w:eastAsia="Times New Roman" w:hAnsi="Times New Roman"/>
          <w:sz w:val="16"/>
          <w:szCs w:val="16"/>
          <w:color w:val="auto"/>
        </w:rPr>
        <w:t>( 1)</w:t>
        <w:tab/>
        <w:t>Call option after initial one year lock out.</w:t>
      </w:r>
    </w:p>
    <w:p>
      <w:pPr>
        <w:spacing w:after="0" w:line="269"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FRB Secured Line of Credit. </w:t>
      </w:r>
      <w:r>
        <w:rPr>
          <w:rFonts w:ascii="Times New Roman" w:cs="Times New Roman" w:eastAsia="Times New Roman" w:hAnsi="Times New Roman"/>
          <w:sz w:val="18"/>
          <w:szCs w:val="18"/>
          <w:color w:val="auto"/>
        </w:rPr>
        <w:t>At March 31, 2026, the Bank had a secured borrowing capacity with the FRB of $70.0 million collateralized by pledged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with a carrying value of $89.6 million.</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Federal Funds Arrangements with Commercial Banks. </w:t>
      </w:r>
      <w:r>
        <w:rPr>
          <w:rFonts w:ascii="Times New Roman" w:cs="Times New Roman" w:eastAsia="Times New Roman" w:hAnsi="Times New Roman"/>
          <w:sz w:val="18"/>
          <w:szCs w:val="18"/>
          <w:color w:val="auto"/>
        </w:rPr>
        <w:t>At March 31, 2026, the Bank had established unsecured borrowing lines with other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institutions totaling $97.0 million.</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amounts outstanding under any of the other borrowing arrangements above as of March 31, 2026, except the FHLB term advances of $130.0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determined based on differences between financial reporting and tax bases of assets and liabilities and are measured using the enacted tax rates and laws that will be in effect when the differences are expected to reverse.</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$4.4 million, $2.6 million, and $900,000, reflecting an effective tax rate of 28.0%, 20.2%, and 28.2% for the three months ended March 31, 2026, December 31, 2025, and March 31, 2025. The $3.5 million increase in the income tax provision in the first quarter of 2026 compared to the first quarter of 2025 was due to $12.5 million higher pretax income in the first quarter of 2026. The Company’s income tax expense results from domestic (federal) and state tax obligations since the Company has no foreign operations or foreign taxes for all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enter into financial commitments to meet the financing needs of our customers. These financial commitments include commitments to extend credit, unused lines of credit, commercial and similar letters of credit and standby letters of credit. Those instruments involve varying degrees of credit and interest rate risk not recognized in our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exposure to loss in the event of nonperformance on these financial commitments is represented by the contractual amount of those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same credit policies in making commitments as we do for loans reflected in the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the following financial commitments whose contractual amount represents credit risk, as of the dates indicated:</w:t>
      </w:r>
    </w:p>
    <w:p>
      <w:pPr>
        <w:spacing w:after="0" w:line="221" w:lineRule="exact"/>
        <w:rPr>
          <w:sz w:val="20"/>
          <w:szCs w:val="20"/>
          <w:color w:val="auto"/>
        </w:rPr>
      </w:pPr>
    </w:p>
    <w:p>
      <w:pPr>
        <w:ind w:left="784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March 31,</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p>
      <w:pPr>
        <w:ind w:left="804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ectPr>
          <w:pgSz w:w="11900" w:h="16838" w:orient="portrait"/>
          <w:cols w:equalWidth="0" w:num="1">
            <w:col w:w="11240"/>
          </w:cols>
          <w:pgMar w:left="320" w:top="108" w:right="339" w:bottom="758"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to make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Unused lines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and similar letters of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Standby letters of credit</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600" w:type="dxa"/>
            <w:vAlign w:val="bottom"/>
          </w:tcPr>
          <w:p>
            <w:pPr>
              <w:spacing w:after="0"/>
              <w:rPr>
                <w:sz w:val="14"/>
                <w:szCs w:val="14"/>
                <w:color w:val="auto"/>
              </w:rPr>
            </w:pPr>
          </w:p>
        </w:tc>
        <w:tc>
          <w:tcPr>
            <w:tcW w:w="2380" w:type="dxa"/>
            <w:vAlign w:val="bottom"/>
            <w:gridSpan w:val="4"/>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45,871</w:t>
            </w:r>
          </w:p>
        </w:tc>
        <w:tc>
          <w:tcPr>
            <w:tcW w:w="18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41,635</w:t>
            </w:r>
          </w:p>
        </w:tc>
      </w:tr>
      <w:tr>
        <w:trPr>
          <w:trHeight w:val="216"/>
        </w:trPr>
        <w:tc>
          <w:tcPr>
            <w:tcW w:w="6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64,513</w:t>
            </w:r>
          </w:p>
        </w:tc>
      </w:tr>
      <w:tr>
        <w:trPr>
          <w:trHeight w:val="216"/>
        </w:trPr>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r>
      <w:tr>
        <w:trPr>
          <w:trHeight w:val="234"/>
        </w:trPr>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5,025</w:t>
            </w:r>
          </w:p>
        </w:tc>
      </w:tr>
      <w:tr>
        <w:trPr>
          <w:trHeight w:val="209"/>
        </w:trPr>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113,562</w:t>
            </w:r>
          </w:p>
        </w:tc>
        <w:tc>
          <w:tcPr>
            <w:tcW w:w="20" w:type="dxa"/>
            <w:vAlign w:val="bottom"/>
          </w:tcPr>
          <w:p>
            <w:pPr>
              <w:spacing w:after="0"/>
              <w:rPr>
                <w:sz w:val="18"/>
                <w:szCs w:val="18"/>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-719455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-445135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-161925</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00" w:space="720"/>
            <w:col w:w="3920"/>
          </w:cols>
          <w:pgMar w:left="320" w:top="108" w:right="339" w:bottom="758" w:gutter="0" w:footer="0" w:header="0"/>
          <w:type w:val="continuous"/>
        </w:sect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Since many of the commitments are expected to expire without being drawn upon, the total amounts do not necessarily represent future cash requirements. We evaluate each client's creditworthiness on a case-by-case basis.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record a liability for lifetime expected losses on off-balance-sheet credit exposure that does not fit the definition of unconditionally cancelable commitments in accordance with ASC 326, which we refer to as the reserve for unfunded loan commitments ("RUC"). We use the loss rate and exposure at default framework to estimate a RUC. Loss rates for the expected funded balances are determined based on the associated pooled loan analysis loss rate and the exposure at default is based on an estimated utilization given default. The RUC was $484,000 as of March 31, 2026 and December 31, 2025. We recorded a (reversal of) provision for unfunded loan commitments of zero, ($20,000), and ($100,000) for the three months ended March 31, 2026, December 31, 2025, and March 31, 2025.</w:t>
      </w:r>
    </w:p>
    <w:p>
      <w:pPr>
        <w:sectPr>
          <w:pgSz w:w="11900" w:h="16838" w:orient="portrait"/>
          <w:cols w:equalWidth="0" w:num="1">
            <w:col w:w="11240"/>
          </w:cols>
          <w:pgMar w:left="320" w:top="108" w:right="339" w:bottom="758"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758"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invest in qualified affordable housing partnerships, Small Business Investment Company funds and other equity investments for CRA purposes. Pursuant to these investments, we commit to an investment amount to be fulfilled in future periods. Such unfunded commitments totaled $18.1 million as of March 31, 2026 and $11.0 million as of December 31, 2025. We also have investments in fintech venture funds, with unfunded commitments of $615,000 as of March 31, 2026 and $675,000 as of December 31, 2025.</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involved in various matters of litigation which have arisen in the ordinary course of business and accruals for estimates of potential losses have been provided when necessary and appropriate under generally accepted accounting principles. In the opinion of management, the disposition of such pending litigation will not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lease several of our operating facilities under various non-cancellable operating leases expiring at various dates through 2037. We are also responsible for common area maintenance, taxes, and insurance at the various branch locations.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Future minimum rent payments on our leases were as follows as of the date indicated: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r>
      <w:tr>
        <w:trPr>
          <w:trHeight w:val="238"/>
        </w:trPr>
        <w:tc>
          <w:tcPr>
            <w:tcW w:w="8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r>
      <w:tr>
        <w:trPr>
          <w:trHeight w:val="187"/>
        </w:trPr>
        <w:tc>
          <w:tcPr>
            <w:tcW w:w="8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100" w:type="dxa"/>
            <w:vAlign w:val="bottom"/>
          </w:tcPr>
          <w:p>
            <w:pPr>
              <w:spacing w:after="0"/>
              <w:rPr>
                <w:sz w:val="16"/>
                <w:szCs w:val="16"/>
                <w:color w:val="auto"/>
              </w:rPr>
            </w:pPr>
          </w:p>
        </w:tc>
      </w:tr>
      <w:tr>
        <w:trPr>
          <w:trHeight w:val="238"/>
        </w:trPr>
        <w:tc>
          <w:tcPr>
            <w:tcW w:w="8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i w:val="1"/>
                <w:iCs w:val="1"/>
                <w:color w:val="auto"/>
                <w:w w:val="99"/>
              </w:rPr>
              <w:t>thousands)</w:t>
            </w:r>
          </w:p>
        </w:tc>
      </w:tr>
      <w:tr>
        <w:trPr>
          <w:trHeight w:val="21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Remainder of 2026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w:t>
            </w: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5,983</w:t>
            </w:r>
          </w:p>
        </w:tc>
      </w:tr>
      <w:tr>
        <w:trPr>
          <w:trHeight w:val="21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4,981</w:t>
            </w: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2029</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r>
      <w:tr>
        <w:trPr>
          <w:trHeight w:val="216"/>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2030</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8"/>
                <w:szCs w:val="18"/>
                <w:color w:val="auto"/>
              </w:rPr>
            </w:pPr>
          </w:p>
        </w:tc>
      </w:tr>
      <w:tr>
        <w:trPr>
          <w:trHeight w:val="209"/>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26,487</w:t>
            </w:r>
          </w:p>
        </w:tc>
      </w:tr>
      <w:tr>
        <w:trPr>
          <w:trHeight w:val="216"/>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of payment representing interest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(2,108)</w:t>
            </w:r>
          </w:p>
        </w:tc>
      </w:tr>
      <w:tr>
        <w:trPr>
          <w:trHeight w:val="25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minimum rent payments shown above are given for the existing lease obligation and are not a forecast of future rental expense. Total rental expense, recognized on a straight-line basis, was $1.5 million, $1.4 million, and $1.5 million for the three months ended March 31, 2026, December 31, 2025, and March 31, 2025. The Company received rental income of $157,000, $163,000, and $158,000 for the three months ended March 31, 2026, December 31, 2025, and March 31, 2025</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right-of-use (“ROU”) assets and lease liabilities recorded on our consolidated balance sheet, the weighted-average remaining lease terms and discount rates, as of the dates indicated</w:t>
      </w:r>
      <w:r>
        <w:rPr>
          <w:rFonts w:ascii="Times New Roman" w:cs="Times New Roman" w:eastAsia="Times New Roman" w:hAnsi="Times New Roman"/>
          <w:sz w:val="18"/>
          <w:szCs w:val="18"/>
          <w:i w:val="1"/>
          <w:i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0" w:type="dxa"/>
            <w:vAlign w:val="bottom"/>
          </w:tcPr>
          <w:p>
            <w:pPr>
              <w:spacing w:after="0"/>
              <w:rPr>
                <w:sz w:val="1"/>
                <w:szCs w:val="1"/>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23,026</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24,800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PARTY TRANSACTIONS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loans or outstanding loan commitments to any principal officers or directors, or any of their affiliates at March 31, 2026 and December 31, 2025.</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from principal officers, directors, and their affiliates at March 31, 2026 and December 31, 2025 were $67.1 million and $73.0 million.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Certain directors and their affiliates own $6.0 million of RBB's subordinated debentures as of March 31, 2026 and December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Amended and Restated RBB Bancorp 2017 Omnibus Stock Incentive Plan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Amended and Restated RBB Bancorp 2017 Omnibus Stock Incentive Plan (the "Amended OSIP") was approved by our board of directors in January 2022 and approved by our shareholders in May 2022. The Amended OSIP was designed to ensure continued availability of equity awards that will assist us in attracting and retaining competent managerial personnel and rewarding key employees, directors and other service providers for high levels of performance. Pursuant to the Amended OSIP, our board of directors are allowed to grant awards to eligible persons in the form of qualified and non-qualified stock options, restricted stock, restricted stock units, stock appreciation rights and other incentive awards. We have reserved up to 30% of issued and outstanding shares of common stock as of the date we adopted the Amended OSIP, or 3,848,341 shares. As of March 31, 2026, there were 881,186 shares of common stock available for issuance under the Amended OSIP. This represents 5.2% of the issued and outstanding shares of the Company’s common stock as of March 31, 2026. Awards vest, become exercisable and contain such other terms and conditions as determined by the board of directors and set forth in individual agreements with the employees receiving the awards. The Amended OSIP enables the board of directors to set specific performance criteria that must be met before an award vests. The Amended OSIP allows for acceleration of vesting and exercise privileges of grants if a participant’s termination of employment is due to a change in control, death or total disability. If a participant’s job is terminated for cause, then all awards expire at the date of termination.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stock options was $9,000, $9,000, and $14,000 for the three months ended March 31, 2026, December 31, 2025, and March 31, 2025. Unrecognized stock-based compensation expense related to options was $64,000 as of March 31, 2026. Unrecognized compensation expense related to stock options, as of March 31, 2026, is expected to be recognized over the next 1.3 years.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was estimated on the date of grant using the Black-Scholes option pricing model. The table below summarizes the assumptions and grant date fair value for stock options granted in March 2023. No stock options have been granted after March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At March 2023</w:t>
            </w:r>
          </w:p>
        </w:tc>
        <w:tc>
          <w:tcPr>
            <w:tcW w:w="160" w:type="dxa"/>
            <w:vAlign w:val="bottom"/>
          </w:tcPr>
          <w:p>
            <w:pPr>
              <w:spacing w:after="0"/>
              <w:rPr>
                <w:sz w:val="20"/>
                <w:szCs w:val="20"/>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date fair value</w:t>
            </w:r>
          </w:p>
        </w:tc>
        <w:tc>
          <w:tcPr>
            <w:tcW w:w="4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volatility is based on the historical volatility of our stock trading history. The expected term is based on historical data and represents the estimated average period of time that the options remain outstanding. The risk-free rate of return reflects the grant date interest rate offered for zero coupon U.S. Treasury bonds over the expected term of the options.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summary of our stock options awards and activity as of and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5260" w:type="dxa"/>
            <w:vAlign w:val="bottom"/>
            <w:gridSpan w:val="10"/>
          </w:tcPr>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for per share data)</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196"/>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Unvested stock options totaled 12,000 with a weighted average grant date fair value of $6.16 as of March 31, 2026 and December 31, 2025. There were no options which vested, and no options were exercised during the three months ended March 31, 2026 and 2025.</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award time-based restricted stock units (“TRSUs”) and performance-based restricted stock units (“PRSUs”), which we also refer to collectively as restricted stock units (“RSUs”). The PRSUs are subject to pre-established performance metrics, which may also include a market condition, that will be measured in the future and subject to oversight and approval by the Board of Director’s Compensation Committee. The TRSUs have original lives ranging from 1 to 4 years and PRSUs have an original life of 3 years. No RSUs were granted during the three months ended March 31, 2026.</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recorded compensation expense for RSUs was $268,000, $283,000, and $242,000 for the three months ended March 31, 2026, December 31, 2025, and March 31, 2025. As of March 31, 2026, unrecognized stock-based compensation expense related to RSUs totaled $1.8 million and is expected to be recognized over the next 2.1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RSUs activity during the three months ended March 31, 2026.</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Fair Value Per</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191,091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163,017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REGULATORY MATTERS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Holding companies (with assets over $3 billion at the beginning of the year) and banks are subject to various regulatory capital requirements administered by the federal banking agencies. Failure to meet minimum capital requirements can initiate certain mandatory - and possibly additional discretionary - actions by regulators that, if undertaken, could have a direct material effect on our financial statements.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Final comprehensive regulatory capital rules for U.S. banking organizations pursuant to the capital framework of the Basel Committee on Banking Supervision, generally referred to as “Basel III,” implemented a requirement for all banking organizations to maintain a capital conservation buffer of 2.5% above the minimum risk-based capital requirements. The capital conservation buffer is exclusively comprised of common equity Tier 1 capital, and it applies to each of the three risk-based capital ratios but not to the leverage ratio. At March 31, 2026, the Company and the Bank were in compliance with the capital conservation buffer requirements. If the capital adequacy minimum ratios plus the phased-in conservation buffer amount exceed actual risk-weighted capital ratios, then dividends, share buybacks, and discretionary bonuses to executives could be limited in amount.</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Capital amounts and classification are also subject to qualitative judgments by the regulators about components, risk weightings, and other factors. Quantitative measures established by regulation to ensure capital adequacy require the Bank to maintain minimum amounts and ratios (set forth in the table below) of total, Tier 1 and CET1 capital (as defined in the regulations) to risk-weighted assets (as defined), and of Tier 1 capital (as defined) to average assets (as defined). As permitted by the regulators for financial institutions that are not deemed to be “advanced approaches” institutions, we have elected to opt out of the Basel III requirement to include accumulated other comprehensive income in risk-based capital. Management believes, at March 31, 2026 and December 31, 2025, we satisfied all capital adequacy requirements to which we were subject.</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set forth Bancorp’s consolidated and the Bank’s actual capital amounts and ratios and related regulatory requirements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Amount of Capital Required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 Be Well-Capitalized</w:t>
            </w: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Minimum Required for</w:t>
            </w:r>
          </w:p>
        </w:tc>
        <w:tc>
          <w:tcPr>
            <w:tcW w:w="160" w:type="dxa"/>
            <w:vAlign w:val="bottom"/>
          </w:tcPr>
          <w:p>
            <w:pPr>
              <w:spacing w:after="0"/>
              <w:rPr>
                <w:sz w:val="18"/>
                <w:szCs w:val="18"/>
                <w:color w:val="auto"/>
              </w:rPr>
            </w:pPr>
          </w:p>
        </w:tc>
        <w:tc>
          <w:tcPr>
            <w:tcW w:w="24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Capital Adequacy Purposes</w:t>
            </w:r>
          </w:p>
        </w:tc>
        <w:tc>
          <w:tcPr>
            <w:tcW w:w="160" w:type="dxa"/>
            <w:vAlign w:val="bottom"/>
          </w:tcPr>
          <w:p>
            <w:pPr>
              <w:spacing w:after="0"/>
              <w:rPr>
                <w:sz w:val="20"/>
                <w:szCs w:val="20"/>
                <w:color w:val="auto"/>
              </w:rPr>
            </w:pPr>
          </w:p>
        </w:tc>
        <w:tc>
          <w:tcPr>
            <w:tcW w:w="14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Ratio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Tier 1 Leverage Ratio</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487,820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165,828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207,285</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557,291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165,557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206,946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324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Common Equity Tier 1 Risk-Based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Capital Ratio</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472,854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172,212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557,291</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118,882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171,719</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Tier 1 Risk-Based Capital Ratio</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487,820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158,965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211,954</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557,291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158,510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211,347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Total Risk-Based Capital Ratio</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641,074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211,954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264,942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0"/>
        </w:trPr>
        <w:tc>
          <w:tcPr>
            <w:tcW w:w="3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590,451</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211,347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264,183</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rPr>
          <w:sz w:val="20"/>
          <w:szCs w:val="20"/>
          <w:color w:val="auto"/>
        </w:rPr>
      </w:pPr>
      <w:r>
        <w:rPr>
          <w:rFonts w:ascii="Times New Roman" w:cs="Times New Roman" w:eastAsia="Times New Roman" w:hAnsi="Times New Roman"/>
          <w:sz w:val="16"/>
          <w:szCs w:val="16"/>
          <w:color w:val="auto"/>
        </w:rPr>
        <w:t>(1) These ratios are exclusive of the 2.5% capital conservation buffer.</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Amount of Capital Required</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 Be Well-Capitalized</w:t>
            </w: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Minimum Required for</w:t>
            </w:r>
          </w:p>
        </w:tc>
        <w:tc>
          <w:tcPr>
            <w:tcW w:w="160" w:type="dxa"/>
            <w:vAlign w:val="bottom"/>
          </w:tcPr>
          <w:p>
            <w:pPr>
              <w:spacing w:after="0"/>
              <w:rPr>
                <w:sz w:val="18"/>
                <w:szCs w:val="18"/>
                <w:color w:val="auto"/>
              </w:rPr>
            </w:pPr>
          </w:p>
        </w:tc>
        <w:tc>
          <w:tcPr>
            <w:tcW w:w="24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38"/>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Capital Adequacy Purposes</w:t>
            </w:r>
          </w:p>
        </w:tc>
        <w:tc>
          <w:tcPr>
            <w:tcW w:w="160" w:type="dxa"/>
            <w:vAlign w:val="bottom"/>
          </w:tcPr>
          <w:p>
            <w:pPr>
              <w:spacing w:after="0"/>
              <w:rPr>
                <w:sz w:val="20"/>
                <w:szCs w:val="20"/>
                <w:color w:val="auto"/>
              </w:rPr>
            </w:pPr>
          </w:p>
        </w:tc>
        <w:tc>
          <w:tcPr>
            <w:tcW w:w="14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2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Ratio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8"/>
                <w:szCs w:val="18"/>
                <w:color w:val="auto"/>
              </w:rPr>
            </w:pPr>
          </w:p>
        </w:tc>
      </w:tr>
      <w:tr>
        <w:trPr>
          <w:trHeight w:val="209"/>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Tier 1 Leverage Ratio</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479,047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165,193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206,491</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544,296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164,965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206,206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3240" w:type="dxa"/>
            <w:vAlign w:val="bottom"/>
            <w:gridSpan w:val="2"/>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Common Equity Tier 1 Risk Based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Capital Ratio</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464,133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119,388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172,450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544,296</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119,075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171,998</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Tier 1 Risk-Based Capital Ratio</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479,047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159,184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212,246</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544,296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158,767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211,690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Total Risk-Based Capital Ratio</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632,260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212,246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265,307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0"/>
        </w:trPr>
        <w:tc>
          <w:tcPr>
            <w:tcW w:w="3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Bank</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577,512</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211,690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264,612</w:t>
            </w:r>
          </w:p>
        </w:tc>
        <w:tc>
          <w:tcPr>
            <w:tcW w:w="3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rPr>
          <w:sz w:val="20"/>
          <w:szCs w:val="20"/>
          <w:color w:val="auto"/>
        </w:rPr>
      </w:pPr>
      <w:r>
        <w:rPr>
          <w:rFonts w:ascii="Times New Roman" w:cs="Times New Roman" w:eastAsia="Times New Roman" w:hAnsi="Times New Roman"/>
          <w:sz w:val="16"/>
          <w:szCs w:val="16"/>
          <w:color w:val="auto"/>
        </w:rPr>
        <w:t>(1) These ratios are exclusive of the 2.5% capital conservation buffer.</w:t>
      </w:r>
    </w:p>
    <w:p>
      <w:pPr>
        <w:spacing w:after="0" w:line="2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California Financial Code generally acts to prohibit banks from making a cash distribution to its shareholders in excess of the lesser of the bank's undivided profits or the bank's net income for its last three fiscal years less the amount of any distribution made by the bank's shareholders during the same period.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California General Corporation Law generally acts to prohibit companies from paying dividends on common stock unless retained earnings, immediately prior to the dividend payment, equals or exceeds the amount of the dividend. If a company fails this test, then it may still pay dividends if after giving effect to the dividend the company's assets are at least 125% of its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the Federal Reserve has issued guidance which requires that they be consulted before payment of a dividend if a bank holding company does not have earnings over the prior four quarters of at least equal to the dividend to be paid, plus other holding company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MEASUREMENTS AND FAIR VALUE OF FINANCIAL INSTRUMENTS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ASC 820-10, we group financial assets and financial liabilities measured at fair value in three levels, based on the markets in which the assets and liabilities are traded and the reliability of the assumptions used to determine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Hierarchy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Level 2 - Inputs other than quoted prices included in Level 1 that are observable for the asset or liability, either directly or indirectly. These might include quoted prices for similar instruments in active markets, quoted prices for identical or similar instruments in markets that are not active, inputs other than quoted prices that are observable for the asset or liability (such as interest rates, prepayment speeds, volatilities, etc.) or model-based valuation techniques where all significant assumptions are observable, either directly or indirectly, in the market.</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3 - Valuation is generated from model-based techniques where one or more significant inputs are not observable, either directly or indirectly, in the market. These unobservable assumptions reflect our own estimates of assumptions that market participants would use in pricing the asset or liability. Valuation techniques may include use of matrix pricing, discounted cash flow models, and similar techniques.</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on a Recurring Basis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values of securities available for sale are determined by obtaining quoted prices on nationally recognized securities exchanges (Level 1) or matrix pricing, which is a mathematical technique used widely in the industry to value debt securities without relying exclusively on quoted prices for specific securities but rather by relying on the securities' relationship to other benchmark quoted securities (Level 2).</w:t>
      </w:r>
    </w:p>
    <w:p>
      <w:pPr>
        <w:sectPr>
          <w:pgSz w:w="11900" w:h="16838" w:orient="portrait"/>
          <w:cols w:equalWidth="0" w:num="1">
            <w:col w:w="11240"/>
          </w:cols>
          <w:pgMar w:left="320" w:top="10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6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on a Non-Recurring Basis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Collateral-dependent individually evaluated loans: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Collateral-dependent individually evaluated loans are carried at fair value when it is probable that we will be unable to collect all amounts due according to the contractual terms of the original loan agreement and the loan has been written down to the fair value of its underlying collateral, net of expected selling costs.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collateral-dependent individually evaluated loans is based on third party appraisals of the property, less management’s estimate of selling costs. Third party appraisals generally use a sales comparison or income capitalization approach to derive the appraised value based on market transactions involving similar or comparable properties. Adjustments are routinely made by the third party appraisers to adjust for differences between the comparable sales and income data used in the appraisal. Adjustments may also result from the consideration of relevant economic and demographic factors which may affect property values. Positive adjustments in the appraisal represent increases to the sales comparisons and negative adjustments represent decreases.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Other Real Estate Owned ("OREO"):</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OREO (included in “Accrued interest and other assets” in the consolidated balance sheets) is initially recorded at fair value less estimated selling costs at the date of transfer. This amount becomes the property's new basis. Fair values are generally based on third party appraisals of the property and discounted by management to reflect estimated selling costs (Level 3).</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Appraisals for OREO and collateral-dependent loans are performed by state licensed appraisers (for commercial properties) or state certified appraisers (for residential properties) whose qualifications and licenses have been reviewed and verified by us. We review the assumptions and approaches utilized in the appraisal as well as the overall resulting fair value in comparison to independent data sources such as recent market data or industry wide statistics for residential appraisals. We also consider the actual selling price of collateral that has been sold in recent periods to determine what additional adjustments, if any, should be made to the appraisal values to arrive at fair value. In determining the net realizable value of the underlying collateral for individually evaluated loans and OREO, we discount the valuation to cover both market price fluctuations and selling costs, typically ranging from 6% to 10% of the collateral value, that may be incurred in the event of foreclosure. Generally, if the existing appraisal is older than twelve months for OREO or collateral-dependent loans, a new appraisal report is ordered.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financial assets and liabilities measured at fair value on a recurring basis or on a non-recurring basis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On a recurring basis: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20,839</w:t>
            </w: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20,404</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20,404</w:t>
            </w: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97,262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97,262</w:t>
            </w: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209,749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209,749</w:t>
            </w: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29,718</w:t>
            </w: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28,480</w:t>
            </w: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securities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415,789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415,789</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On a non-recurring basis: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Collateral dependent individually evaluated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Construction and land development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19,391</w:t>
            </w:r>
          </w:p>
        </w:tc>
      </w:tr>
      <w:tr>
        <w:trPr>
          <w:trHeight w:val="216"/>
        </w:trPr>
        <w:tc>
          <w:tcPr>
            <w:tcW w:w="5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and industrial loans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5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SBA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54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Other real estate owned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4,268</w:t>
            </w: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32,257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32,257</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5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Included in “Accrued interest and other assets” on the consolidated balance sheets.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4"/>
                <w:szCs w:val="24"/>
                <w:color w:val="auto"/>
              </w:rPr>
            </w:pP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4"/>
                <w:szCs w:val="24"/>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On a recurring basis: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22,705</w:t>
            </w:r>
          </w:p>
        </w:tc>
      </w:tr>
      <w:tr>
        <w:trPr>
          <w:trHeight w:val="216"/>
        </w:trPr>
        <w:tc>
          <w:tcPr>
            <w:tcW w:w="5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21,180</w:t>
            </w: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21,180</w:t>
            </w:r>
          </w:p>
        </w:tc>
      </w:tr>
      <w:tr>
        <w:trPr>
          <w:trHeight w:val="216"/>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92,155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92,155</w:t>
            </w:r>
          </w:p>
        </w:tc>
      </w:tr>
      <w:tr>
        <w:trPr>
          <w:trHeight w:val="216"/>
        </w:trPr>
        <w:tc>
          <w:tcPr>
            <w:tcW w:w="5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213,272</w:t>
            </w: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213,272</w:t>
            </w:r>
          </w:p>
        </w:tc>
      </w:tr>
      <w:tr>
        <w:trPr>
          <w:trHeight w:val="216"/>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r>
      <w:tr>
        <w:trPr>
          <w:trHeight w:val="216"/>
        </w:trPr>
        <w:tc>
          <w:tcPr>
            <w:tcW w:w="5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28,429</w:t>
            </w: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28,429</w:t>
            </w:r>
          </w:p>
        </w:tc>
      </w:tr>
      <w:tr>
        <w:trPr>
          <w:trHeight w:val="216"/>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r>
      <w:tr>
        <w:trPr>
          <w:trHeight w:val="216"/>
        </w:trPr>
        <w:tc>
          <w:tcPr>
            <w:tcW w:w="5860" w:type="dxa"/>
            <w:vAlign w:val="bottom"/>
            <w:gridSpan w:val="2"/>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Forward mortgage loan sale contracts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407,215</w:t>
            </w:r>
          </w:p>
        </w:tc>
      </w:tr>
      <w:tr>
        <w:trPr>
          <w:trHeight w:val="196"/>
        </w:trPr>
        <w:tc>
          <w:tcPr>
            <w:tcW w:w="5860" w:type="dxa"/>
            <w:vAlign w:val="bottom"/>
            <w:tcBorders>
              <w:top w:val="single" w:sz="8" w:color="CCEEFF"/>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On a non-recurring basis:</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 dependent individually evaluated loans: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w:t>
            </w:r>
          </w:p>
        </w:tc>
      </w:tr>
      <w:tr>
        <w:trPr>
          <w:trHeight w:val="229"/>
        </w:trPr>
        <w:tc>
          <w:tcPr>
            <w:tcW w:w="5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Construction and land development loans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19,465</w:t>
            </w:r>
          </w:p>
        </w:tc>
      </w:tr>
    </w:tbl>
    <w:p>
      <w:pPr>
        <w:sectPr>
          <w:pgSz w:w="11900" w:h="16838" w:orient="portrait"/>
          <w:cols w:equalWidth="0" w:num="1">
            <w:col w:w="11240"/>
          </w:cols>
          <w:pgMar w:left="320" w:top="121" w:right="3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00" w:type="dxa"/>
            <w:vAlign w:val="bottom"/>
            <w:gridSpan w:val="2"/>
          </w:tcPr>
          <w:p>
            <w:pPr>
              <w:jc w:val="right"/>
              <w:ind w:right="3660"/>
              <w:spacing w:after="0"/>
              <w:rPr>
                <w:sz w:val="20"/>
                <w:szCs w:val="20"/>
                <w:color w:val="auto"/>
              </w:rPr>
            </w:pPr>
            <w:r>
              <w:rPr>
                <w:rFonts w:ascii="Times New Roman" w:cs="Times New Roman" w:eastAsia="Times New Roman" w:hAnsi="Times New Roman"/>
                <w:sz w:val="18"/>
                <w:szCs w:val="18"/>
                <w:color w:val="auto"/>
              </w:rPr>
              <w:t>Commercial and industrial loans</w:t>
            </w: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r>
      <w:tr>
        <w:trPr>
          <w:trHeight w:val="223"/>
        </w:trPr>
        <w:tc>
          <w:tcPr>
            <w:tcW w:w="5980" w:type="dxa"/>
            <w:vAlign w:val="bottom"/>
            <w:shd w:val="clear" w:color="auto" w:fill="CCEEFF"/>
          </w:tcPr>
          <w:p>
            <w:pPr>
              <w:jc w:val="right"/>
              <w:ind w:right="3633"/>
              <w:spacing w:after="0" w:line="222" w:lineRule="exact"/>
              <w:rPr>
                <w:sz w:val="20"/>
                <w:szCs w:val="20"/>
                <w:color w:val="auto"/>
              </w:rPr>
            </w:pPr>
            <w:r>
              <w:rPr>
                <w:rFonts w:ascii="Times New Roman" w:cs="Times New Roman" w:eastAsia="Times New Roman" w:hAnsi="Times New Roman"/>
                <w:sz w:val="16"/>
                <w:szCs w:val="16"/>
                <w:color w:val="auto"/>
              </w:rPr>
              <w:t xml:space="preserve">Other real estate owned </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8,830</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8,830</w:t>
            </w:r>
          </w:p>
        </w:tc>
      </w:tr>
      <w:tr>
        <w:trPr>
          <w:trHeight w:val="20"/>
        </w:trPr>
        <w:tc>
          <w:tcPr>
            <w:tcW w:w="59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6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36,074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3274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(1) Included in “Accrued interest and other assets”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-116205</wp:posOffset>
            </wp:positionV>
            <wp:extent cx="32746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10"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assets evaluated on a non-recurring basis are based on third party appraisals, including adjustments to comparable market data, as summarized in the table below.</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100" w:type="dxa"/>
            <w:vAlign w:val="bottom"/>
          </w:tcPr>
          <w:p>
            <w:pPr>
              <w:spacing w:after="0"/>
              <w:rPr>
                <w:sz w:val="20"/>
                <w:szCs w:val="20"/>
                <w:color w:val="auto"/>
              </w:rPr>
            </w:pPr>
          </w:p>
        </w:tc>
        <w:tc>
          <w:tcPr>
            <w:tcW w:w="1720" w:type="dxa"/>
            <w:vAlign w:val="bottom"/>
          </w:tcPr>
          <w:p>
            <w:pPr>
              <w:ind w:lef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Input(s) </w:t>
            </w:r>
            <w:r>
              <w:rPr>
                <w:rFonts w:ascii="Times New Roman" w:cs="Times New Roman" w:eastAsia="Times New Roman" w:hAnsi="Times New Roman"/>
                <w:sz w:val="27"/>
                <w:szCs w:val="27"/>
                <w:b w:val="1"/>
                <w:bCs w:val="1"/>
                <w:color w:val="auto"/>
                <w:vertAlign w:val="superscript"/>
              </w:rPr>
              <w:t>(1)</w:t>
            </w:r>
          </w:p>
        </w:tc>
        <w:tc>
          <w:tcPr>
            <w:tcW w:w="100" w:type="dxa"/>
            <w:vAlign w:val="bottom"/>
          </w:tcPr>
          <w:p>
            <w:pPr>
              <w:spacing w:after="0"/>
              <w:rPr>
                <w:sz w:val="20"/>
                <w:szCs w:val="20"/>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09"/>
        </w:trPr>
        <w:tc>
          <w:tcPr>
            <w:tcW w:w="3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100" w:type="dxa"/>
            <w:vAlign w:val="bottom"/>
          </w:tcPr>
          <w:p>
            <w:pPr>
              <w:spacing w:after="0"/>
              <w:rPr>
                <w:sz w:val="18"/>
                <w:szCs w:val="18"/>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 to 4%</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 loans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 to 26%</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 loans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to 26%</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loans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 to 22%</w:t>
            </w:r>
          </w:p>
        </w:tc>
      </w:tr>
      <w:tr>
        <w:trPr>
          <w:trHeight w:val="216"/>
        </w:trPr>
        <w:tc>
          <w:tcPr>
            <w:tcW w:w="388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Real Estate Owned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1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 approach</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 to 12%</w:t>
            </w: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32,257</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250" w:hanging="232"/>
        <w:spacing w:after="0"/>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minimum and maximum range of adjustments made by appraisers for differences in comparable sales.</w:t>
      </w:r>
    </w:p>
    <w:p>
      <w:pPr>
        <w:spacing w:after="0" w:line="12" w:lineRule="exact"/>
        <w:rPr>
          <w:rFonts w:ascii="Times New Roman" w:cs="Times New Roman" w:eastAsia="Times New Roman" w:hAnsi="Times New Roman"/>
          <w:sz w:val="16"/>
          <w:szCs w:val="16"/>
          <w:color w:val="auto"/>
        </w:rPr>
      </w:pPr>
    </w:p>
    <w:p>
      <w:pPr>
        <w:ind w:left="250" w:hanging="232"/>
        <w:spacing w:after="0"/>
        <w:tabs>
          <w:tab w:leader="none" w:pos="25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interest and other assets” on the consolidated balance sheets.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33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200" w:type="dxa"/>
            <w:vAlign w:val="bottom"/>
          </w:tcPr>
          <w:p>
            <w:pPr>
              <w:spacing w:after="0"/>
              <w:rPr>
                <w:sz w:val="24"/>
                <w:szCs w:val="24"/>
                <w:color w:val="auto"/>
              </w:rPr>
            </w:pPr>
          </w:p>
        </w:tc>
        <w:tc>
          <w:tcPr>
            <w:tcW w:w="2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 xml:space="preserve">Unobservable Input(s) </w:t>
            </w:r>
            <w:r>
              <w:rPr>
                <w:rFonts w:ascii="Times New Roman" w:cs="Times New Roman" w:eastAsia="Times New Roman" w:hAnsi="Times New Roman"/>
                <w:sz w:val="29"/>
                <w:szCs w:val="29"/>
                <w:b w:val="1"/>
                <w:bCs w:val="1"/>
                <w:color w:val="auto"/>
                <w:w w:val="99"/>
                <w:vertAlign w:val="superscript"/>
              </w:rPr>
              <w:t>(1)</w:t>
            </w:r>
          </w:p>
        </w:tc>
        <w:tc>
          <w:tcPr>
            <w:tcW w:w="20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Collateral dependent loans: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3"/>
          </w:tcPr>
          <w:p>
            <w:pPr>
              <w:ind w:left="138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$ 3,071</w:t>
            </w: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 approach</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 to 4%</w:t>
            </w: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 loans</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19,465</w:t>
            </w: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approach</w:t>
            </w:r>
          </w:p>
        </w:tc>
        <w:tc>
          <w:tcPr>
            <w:tcW w:w="2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to 23%</w:t>
            </w: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 loans</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c>
          <w:tcPr>
            <w:tcW w:w="2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 approach</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to 20%</w:t>
            </w:r>
          </w:p>
        </w:tc>
      </w:tr>
      <w:tr>
        <w:trPr>
          <w:trHeight w:val="216"/>
        </w:trPr>
        <w:tc>
          <w:tcPr>
            <w:tcW w:w="39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Real Estate Owned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approach</w:t>
            </w:r>
          </w:p>
        </w:tc>
        <w:tc>
          <w:tcPr>
            <w:tcW w:w="20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 to 21%</w:t>
            </w:r>
          </w:p>
        </w:tc>
      </w:tr>
      <w:tr>
        <w:trPr>
          <w:trHeight w:val="25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bl>
    <w:p>
      <w:pPr>
        <w:ind w:left="230" w:hanging="230"/>
        <w:spacing w:after="0"/>
        <w:tabs>
          <w:tab w:leader="none" w:pos="2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minimum and maximum range of adjustments made by appraisers for differences in comparable sales.</w:t>
      </w:r>
    </w:p>
    <w:p>
      <w:pPr>
        <w:spacing w:after="0" w:line="12" w:lineRule="exact"/>
        <w:rPr>
          <w:rFonts w:ascii="Times New Roman" w:cs="Times New Roman" w:eastAsia="Times New Roman" w:hAnsi="Times New Roman"/>
          <w:sz w:val="16"/>
          <w:szCs w:val="16"/>
          <w:color w:val="auto"/>
        </w:rPr>
      </w:pPr>
    </w:p>
    <w:p>
      <w:pPr>
        <w:ind w:left="230" w:hanging="230"/>
        <w:spacing w:after="0"/>
        <w:tabs>
          <w:tab w:leader="none" w:pos="23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interest and other assets” on the consolidated balance sheets.</w:t>
      </w:r>
    </w:p>
    <w:p>
      <w:pPr>
        <w:spacing w:after="0" w:line="2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The fair value hierarchy level and estimated fair value of significant financial instruments as of the dates indicated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8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1"/>
              </w:rPr>
              <w:t>(dollars in thousands)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due from banks</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196,910</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196,910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212,317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Interest-earning deposits in other financial institutions</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securities – AFS</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415,789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407,204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securities – HTM</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held for sale</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net</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3,281,566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3,232,925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3,270,413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3,221,797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5"/>
                <w:szCs w:val="25"/>
                <w:color w:val="auto"/>
                <w:vertAlign w:val="superscript"/>
              </w:rPr>
              <w:t>(1)</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26,086</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FHLB stock</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Servicing assets </w:t>
            </w:r>
            <w:r>
              <w:rPr>
                <w:rFonts w:ascii="Times New Roman" w:cs="Times New Roman" w:eastAsia="Times New Roman" w:hAnsi="Times New Roman"/>
                <w:sz w:val="25"/>
                <w:szCs w:val="25"/>
                <w:color w:val="auto"/>
                <w:vertAlign w:val="superscript"/>
              </w:rPr>
              <w:t>(1)</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Accrued interest receivable </w:t>
            </w:r>
            <w:r>
              <w:rPr>
                <w:rFonts w:ascii="Times New Roman" w:cs="Times New Roman" w:eastAsia="Times New Roman" w:hAnsi="Times New Roman"/>
                <w:sz w:val="25"/>
                <w:szCs w:val="25"/>
                <w:color w:val="auto"/>
                <w:vertAlign w:val="superscript"/>
              </w:rPr>
              <w:t>(1)</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Forward mortgage loan sale contracts </w:t>
            </w:r>
            <w:r>
              <w:rPr>
                <w:rFonts w:ascii="Times New Roman" w:cs="Times New Roman" w:eastAsia="Times New Roman" w:hAnsi="Times New Roman"/>
                <w:sz w:val="25"/>
                <w:szCs w:val="25"/>
                <w:color w:val="auto"/>
                <w:vertAlign w:val="superscript"/>
              </w:rPr>
              <w:t>(1)</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3,339,884</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3,338,465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3,350,398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3,350,982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FHLB advances</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128,437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114,691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Subordinated debentures</w:t>
            </w:r>
          </w:p>
        </w:tc>
        <w:tc>
          <w:tcPr>
            <w:tcW w:w="12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Level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Accrued interest payable </w:t>
            </w:r>
            <w:r>
              <w:rPr>
                <w:rFonts w:ascii="Times New Roman" w:cs="Times New Roman" w:eastAsia="Times New Roman" w:hAnsi="Times New Roman"/>
                <w:sz w:val="25"/>
                <w:szCs w:val="25"/>
                <w:color w:val="auto"/>
                <w:vertAlign w:val="superscript"/>
              </w:rPr>
              <w:t>(2)</w:t>
            </w:r>
          </w:p>
        </w:tc>
        <w:tc>
          <w:tcPr>
            <w:tcW w:w="128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Level 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7,960</w:t>
            </w:r>
          </w:p>
        </w:tc>
        <w:tc>
          <w:tcPr>
            <w:tcW w:w="0" w:type="dxa"/>
            <w:vAlign w:val="bottom"/>
          </w:tcPr>
          <w:p>
            <w:pPr>
              <w:spacing w:after="0"/>
              <w:rPr>
                <w:sz w:val="1"/>
                <w:szCs w:val="1"/>
                <w:color w:val="auto"/>
              </w:rPr>
            </w:pPr>
          </w:p>
        </w:tc>
      </w:tr>
    </w:tbl>
    <w:p>
      <w:pPr>
        <w:ind w:left="250" w:hanging="232"/>
        <w:spacing w:after="0"/>
        <w:tabs>
          <w:tab w:leader="none" w:pos="25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interest and other assets” on the consolidated balance sheets.</w:t>
      </w:r>
    </w:p>
    <w:p>
      <w:pPr>
        <w:spacing w:after="0" w:line="12" w:lineRule="exact"/>
        <w:rPr>
          <w:rFonts w:ascii="Times New Roman" w:cs="Times New Roman" w:eastAsia="Times New Roman" w:hAnsi="Times New Roman"/>
          <w:sz w:val="16"/>
          <w:szCs w:val="16"/>
          <w:color w:val="auto"/>
        </w:rPr>
      </w:pPr>
    </w:p>
    <w:p>
      <w:pPr>
        <w:ind w:left="250" w:hanging="232"/>
        <w:spacing w:after="0"/>
        <w:tabs>
          <w:tab w:leader="none" w:pos="25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“Accrued interest and other liabilities” on the consolidated balance sheets.</w:t>
      </w:r>
    </w:p>
    <w:p>
      <w:pPr>
        <w:spacing w:after="0" w:line="2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income and shares outstanding to the net income and number of shares used to compute earnings per share (“EPS”)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18"/>
                <w:szCs w:val="18"/>
                <w:color w:val="auto"/>
              </w:rPr>
            </w:pPr>
          </w:p>
        </w:tc>
        <w:tc>
          <w:tcPr>
            <w:tcW w:w="24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18"/>
                <w:szCs w:val="18"/>
                <w:color w:val="auto"/>
              </w:rPr>
            </w:pPr>
          </w:p>
        </w:tc>
        <w:tc>
          <w:tcPr>
            <w:tcW w:w="22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 except per share data)</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11,300</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17,074,159</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17,057,397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17,738,628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weighting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(10,402)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(10,916)</w:t>
            </w: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Used in basic EPS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17,063,757</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17,049,834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17,727,712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21,181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w:t>
            </w:r>
          </w:p>
        </w:tc>
      </w:tr>
      <w:tr>
        <w:trPr>
          <w:trHeight w:val="216"/>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63,036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56,304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29,586</w:t>
            </w:r>
          </w:p>
        </w:tc>
      </w:tr>
      <w:tr>
        <w:trPr>
          <w:trHeight w:val="216"/>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stock units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26,552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8,070</w:t>
            </w:r>
          </w:p>
        </w:tc>
      </w:tr>
      <w:tr>
        <w:trPr>
          <w:trHeight w:val="20"/>
        </w:trPr>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Used in dilutive EPS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17,174,526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17,140,478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17,770,588</w:t>
            </w:r>
          </w:p>
        </w:tc>
      </w:tr>
      <w:tr>
        <w:trPr>
          <w:trHeight w:val="196"/>
        </w:trPr>
        <w:tc>
          <w:tcPr>
            <w:tcW w:w="3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0.66</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0.66</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Options to purchase 28,000, 34,500, and 57,500 shares of common stock were excluded from the calculation of diluted earnings per share for the three months ended March 31, 2026, December 31, 2025, and March 31, 2025, because their effect would have been anti-dilutive. There were zero, 2,300, and 3,067 anti-dilutive unvested RSUs outstanding for the three months ended March 31, 2026, December 31, 2025, and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 FROM CONTRACTS WITH CUSTOMERS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from contracts with customers that are in-scope and not in-scope under ASC Topic 606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 in scope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Fees and service charges on deposit accounts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49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Other fees </w:t>
            </w:r>
            <w:r>
              <w:rPr>
                <w:rFonts w:ascii="Times New Roman" w:cs="Times New Roman" w:eastAsia="Times New Roman" w:hAnsi="Times New Roman"/>
                <w:sz w:val="25"/>
                <w:szCs w:val="25"/>
                <w:color w:val="auto"/>
                <w:vertAlign w:val="superscript"/>
              </w:rPr>
              <w:t>(1)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Other income </w:t>
            </w:r>
            <w:r>
              <w:rPr>
                <w:rFonts w:ascii="Times New Roman" w:cs="Times New Roman" w:eastAsia="Times New Roman" w:hAnsi="Times New Roman"/>
                <w:sz w:val="25"/>
                <w:szCs w:val="25"/>
                <w:color w:val="auto"/>
                <w:vertAlign w:val="superscript"/>
              </w:rPr>
              <w:t>(2)</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29"/>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OREO</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in-scope noninterest income</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Noninterest income, not in scope </w:t>
            </w:r>
            <w:r>
              <w:rPr>
                <w:rFonts w:ascii="Times New Roman" w:cs="Times New Roman" w:eastAsia="Times New Roman" w:hAnsi="Times New Roman"/>
                <w:sz w:val="26"/>
                <w:szCs w:val="26"/>
                <w:b w:val="1"/>
                <w:bCs w:val="1"/>
                <w:color w:val="auto"/>
                <w:vertAlign w:val="superscript"/>
              </w:rPr>
              <w:t>(3)</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0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fees consist of wealth management fees, miscellaneous loan fees and postage/courier fees.</w:t>
      </w:r>
    </w:p>
    <w:p>
      <w:pPr>
        <w:spacing w:after="0" w:line="26" w:lineRule="exact"/>
        <w:rPr>
          <w:rFonts w:ascii="Times New Roman" w:cs="Times New Roman" w:eastAsia="Times New Roman" w:hAnsi="Times New Roman"/>
          <w:sz w:val="16"/>
          <w:szCs w:val="16"/>
          <w:color w:val="auto"/>
        </w:rPr>
      </w:pPr>
    </w:p>
    <w:p>
      <w:pPr>
        <w:ind w:left="660" w:hanging="328"/>
        <w:spacing w:after="0" w:line="264"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consists of safe deposit box rental income, wire transfer fees, security brokerage fees, annuity sales, insurance activity, OREO income, and gain on sale of fixed assets.</w:t>
      </w:r>
    </w:p>
    <w:p>
      <w:pPr>
        <w:ind w:left="660" w:hanging="328"/>
        <w:spacing w:after="0" w:line="288"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Noninterest income outside the scope of ASC 606 primarily represents: net loan servicing income, letter of credit commissions, import/export commissions, BOLI income, gains on sales of loans, other income from equity investments, and recoveries on loans acquired in a business combination.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510"/>
        <w:spacing w:after="0"/>
        <w:rPr>
          <w:sz w:val="20"/>
          <w:szCs w:val="20"/>
          <w:color w:val="auto"/>
        </w:rPr>
      </w:pPr>
      <w:r>
        <w:rPr>
          <w:rFonts w:ascii="Times New Roman" w:cs="Times New Roman" w:eastAsia="Times New Roman" w:hAnsi="Times New Roman"/>
          <w:sz w:val="18"/>
          <w:szCs w:val="18"/>
          <w:color w:val="auto"/>
        </w:rPr>
        <w:t>The major revenue streams by fee type that are within the scope of ASC 606 presented in the above tables are described in additional detail below:</w:t>
      </w:r>
    </w:p>
    <w:p>
      <w:pPr>
        <w:spacing w:after="0" w:line="2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Fees and Services Charges on Deposit Accounts</w:t>
      </w:r>
    </w:p>
    <w:p>
      <w:pPr>
        <w:spacing w:after="0" w:line="227" w:lineRule="exact"/>
        <w:rPr>
          <w:sz w:val="20"/>
          <w:szCs w:val="20"/>
          <w:color w:val="auto"/>
        </w:rPr>
      </w:pPr>
    </w:p>
    <w:p>
      <w:pPr>
        <w:jc w:val="both"/>
        <w:ind w:left="10" w:firstLine="486"/>
        <w:spacing w:after="0" w:line="255" w:lineRule="auto"/>
        <w:rPr>
          <w:sz w:val="20"/>
          <w:szCs w:val="20"/>
          <w:color w:val="auto"/>
        </w:rPr>
      </w:pPr>
      <w:r>
        <w:rPr>
          <w:rFonts w:ascii="Times New Roman" w:cs="Times New Roman" w:eastAsia="Times New Roman" w:hAnsi="Times New Roman"/>
          <w:sz w:val="18"/>
          <w:szCs w:val="18"/>
          <w:color w:val="auto"/>
        </w:rPr>
        <w:t>Fees and service charges on deposit accounts include charges for analysis, overdraft, cashier's check fees, ATM, and safe deposit activities executed by our deposit clients, as well as interchange income earned through card payment networks for the acceptance of card based transactions. Fees earned from our deposit clients are governed by contracts that provide for overall custody and access to deposited funds and other related services and can be terminated at will by either party; this includes fees from money service businesses. Fees received from deposit clients for the various deposit activities are recognized as revenue once the performance obligations are met. Periodic service charges are generally collected monthly directly from the customer’s deposit account, and at the end of a statement cycle, while transaction based service charges are typically collected at the time of or soon after the service is performed.</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Wealth Management Fees</w:t>
      </w:r>
    </w:p>
    <w:p>
      <w:pPr>
        <w:spacing w:after="0" w:line="227" w:lineRule="exact"/>
        <w:rPr>
          <w:sz w:val="20"/>
          <w:szCs w:val="20"/>
          <w:color w:val="auto"/>
        </w:rPr>
      </w:pPr>
    </w:p>
    <w:p>
      <w:pPr>
        <w:jc w:val="both"/>
        <w:ind w:left="10" w:firstLine="486"/>
        <w:spacing w:after="0" w:line="258" w:lineRule="auto"/>
        <w:rPr>
          <w:sz w:val="20"/>
          <w:szCs w:val="20"/>
          <w:color w:val="auto"/>
        </w:rPr>
      </w:pPr>
      <w:r>
        <w:rPr>
          <w:rFonts w:ascii="Times New Roman" w:cs="Times New Roman" w:eastAsia="Times New Roman" w:hAnsi="Times New Roman"/>
          <w:sz w:val="18"/>
          <w:szCs w:val="18"/>
          <w:color w:val="auto"/>
        </w:rPr>
        <w:t>Other fees include fees generated by our wealth management division, primarily generated from (1) securities brokerage accounts, (2) investment advisor accounts, (3) full service brokerage implementation fees, and (4) life insurance and annuity products. We employ financial consultants to provide investment planning services for customers including wealth management services, asset allocation strategies, portfolio analysis and monitoring, investment strategies, and risk management strategies. The commission fees we earn are variable and are generally received monthly. We recognize revenue for the services performed based on actual transaction details received from the broker dealer we engage.</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Gain/(Loss) on Other Real Estate Owned</w:t>
      </w:r>
    </w:p>
    <w:p>
      <w:pPr>
        <w:spacing w:after="0" w:line="227" w:lineRule="exact"/>
        <w:rPr>
          <w:sz w:val="20"/>
          <w:szCs w:val="20"/>
          <w:color w:val="auto"/>
        </w:rPr>
      </w:pPr>
    </w:p>
    <w:p>
      <w:pPr>
        <w:jc w:val="both"/>
        <w:ind w:left="10" w:firstLine="486"/>
        <w:spacing w:after="0" w:line="256" w:lineRule="auto"/>
        <w:rPr>
          <w:sz w:val="20"/>
          <w:szCs w:val="20"/>
          <w:color w:val="auto"/>
        </w:rPr>
      </w:pPr>
      <w:r>
        <w:rPr>
          <w:rFonts w:ascii="Times New Roman" w:cs="Times New Roman" w:eastAsia="Times New Roman" w:hAnsi="Times New Roman"/>
          <w:sz w:val="18"/>
          <w:szCs w:val="18"/>
          <w:color w:val="auto"/>
        </w:rPr>
        <w:t>We record a gain or loss from the sale of OREO, when control of the property or asset transfers to the buyer, which generally occurs at the time of an executed deed or sales agreement. When we finance the sale of OREO to a buyer, we assess whether the buyer is committed to perform their obligations under the contract and whether collectability of the transaction price is probable. Once these criteria are met, the OREO asset is derecognized and the gain or loss on sale is recorded upon transfer of control of the property to the buyer. In determining the gain or loss on the sale, we adjust the transaction price and related gain or loss on sale if a significant financing component is present. Periodic valuation gains or losses based on the changes in the value of the OREO after repossession are also recorded in gain/(loss) on OREO.</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29" w:lineRule="exact"/>
        <w:rPr>
          <w:sz w:val="20"/>
          <w:szCs w:val="20"/>
          <w:color w:val="auto"/>
        </w:rPr>
      </w:pPr>
    </w:p>
    <w:p>
      <w:pPr>
        <w:jc w:val="both"/>
        <w:ind w:left="10" w:firstLine="486"/>
        <w:spacing w:after="0" w:line="254" w:lineRule="auto"/>
        <w:rPr>
          <w:sz w:val="20"/>
          <w:szCs w:val="20"/>
          <w:color w:val="auto"/>
        </w:rPr>
      </w:pPr>
      <w:r>
        <w:rPr>
          <w:rFonts w:ascii="Times New Roman" w:cs="Times New Roman" w:eastAsia="Times New Roman" w:hAnsi="Times New Roman"/>
          <w:sz w:val="18"/>
          <w:szCs w:val="18"/>
          <w:color w:val="auto"/>
        </w:rPr>
        <w:t>Our reportable segments are determined by the Chief Executive Officer and Chief Financial Officer, who are the designated chief operating decision makers ("CODM"), based upon information provided by our products and services offered, primarily banking operations. The segments are also distinguished by the level of information provided to the CODM, who uses such information to review performance of various components of the business, which are aggregated if operating performance, products/services, and customers are similar. The CODM will evaluate the financial performance of our business components such as by evaluating revenue streams, significant expenses, and budget to actual results in assessing our segment and in the determination of allocating resources. The CODM uses consolidated net income, total assets, total loans, and total deposits to benchmark us against our competitors. The benchmarking analysis coupled with monitoring of budget to actual results are used in assessing performance and establishing compensation. Loans, investments, and deposits provide the revenues in the banking operation. Interest expense, provisions for credit losses and payroll provide the significant expenses in the banking operation. All operations are domestic.</w:t>
      </w:r>
    </w:p>
    <w:p>
      <w:pPr>
        <w:spacing w:after="0" w:line="188" w:lineRule="exact"/>
        <w:rPr>
          <w:sz w:val="20"/>
          <w:szCs w:val="20"/>
          <w:color w:val="auto"/>
        </w:rPr>
      </w:pPr>
    </w:p>
    <w:p>
      <w:pPr>
        <w:jc w:val="both"/>
        <w:ind w:left="10" w:firstLine="486"/>
        <w:spacing w:after="0" w:line="282" w:lineRule="auto"/>
        <w:rPr>
          <w:sz w:val="20"/>
          <w:szCs w:val="20"/>
          <w:color w:val="auto"/>
        </w:rPr>
      </w:pPr>
      <w:r>
        <w:rPr>
          <w:rFonts w:ascii="Times New Roman" w:cs="Times New Roman" w:eastAsia="Times New Roman" w:hAnsi="Times New Roman"/>
          <w:sz w:val="18"/>
          <w:szCs w:val="18"/>
          <w:color w:val="auto"/>
        </w:rPr>
        <w:t>Segment performance is evaluated using consolidated net income, total assets, total loans, and total deposits. Information reported internally for performance assessment by the CODM follows: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20" w:type="dxa"/>
            <w:vAlign w:val="bottom"/>
            <w:gridSpan w:val="10"/>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Banking Segment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52,336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revenue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26,173</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net interest income and noninterest income</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5"/>
                <w:szCs w:val="25"/>
                <w:color w:val="auto"/>
                <w:vertAlign w:val="superscript"/>
              </w:rPr>
              <w:t>(1)</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7,879</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4,194,312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4,208,294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4,009,400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3,325,232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3,316,368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3,143,718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3,339,884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3,350,398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3,142,628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70" w:right="240" w:hanging="170"/>
        <w:spacing w:after="0" w:line="298" w:lineRule="auto"/>
        <w:tabs>
          <w:tab w:leader="none" w:pos="24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 expenses for occupancy and equipment, data processing, legal and professional, office, marketing and business promotion, insurance and regulatory assessments, core deposit premium amortization and other expenses.</w:t>
      </w:r>
    </w:p>
    <w:p>
      <w:pPr>
        <w:sectPr>
          <w:pgSz w:w="11900" w:h="16838" w:orient="portrait"/>
          <w:cols w:equalWidth="0" w:num="1">
            <w:col w:w="11250"/>
          </w:cols>
          <w:pgMar w:left="310" w:top="121" w:right="339" w:bottom="0" w:gutter="0" w:footer="0" w:header="0"/>
        </w:sectPr>
      </w:pPr>
    </w:p>
    <w:p>
      <w:pPr>
        <w:spacing w:after="0" w:line="16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50"/>
          </w:cols>
          <w:pgMar w:left="310" w:top="121" w:right="339" w:bottom="0" w:gutter="0" w:footer="0" w:header="0"/>
          <w:type w:val="continuous"/>
        </w:sectPr>
      </w:pPr>
    </w:p>
    <w:bookmarkStart w:id="32" w:name="page33"/>
    <w:bookmarkEnd w:id="32"/>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QUALIFIED AFFORDABLE HOUSING PROJECT INVESTMENTS</w:t>
      </w:r>
    </w:p>
    <w:p>
      <w:pPr>
        <w:spacing w:after="0" w:line="22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investments in qualified affordable housing projects totaled $16.4 million and $17.0 million. These balances are reflected in accrued interest and other assets on the consolidated balance sheets. Total unfunded commitments related to the investments in qualified affordable housing projects totaled $9.6 million at March 31, 2026 and $10.0 million at December 31, 2025. We expect to fulfill these commitments between 2026 and 2041.</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December 31, 2025, and March 31, 2025, we recognized tax credits from these investments totaling $520,000, $515,000, and $90,000. We had no impairment losses during each of the three months ended March 31, 2026, December 31, 2025, and March 31, 2025. The amortization of these investments was also included within income tax expense as an offset to such tax credits. During the three months ended March 31, 2026, December 31, 2025, and March 31, 2025, we recognized amortization expense of $587,000, $573,000, and $419,000.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REPURCHASE OF COMMON STOCK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29, 2025, the Board of Directors authorized the repurchase of up to $18.0 million of common stock through June 30, 2026, of which $4.1 million was available as of March 31, 2026. We repurchased 746,949 shares of common stock for a total of $14.0 million at a weighted average share price of $18.55 during 2025. We did not repurchase shares during the three months ended March 31, 2026.</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20, 2026, we announced the Board of Directors had declared a common stock cash dividend of $0.16 per share, payable on May 15, 2026 to common shareholders of record as of April 30, 2026.</w:t>
      </w:r>
    </w:p>
    <w:p>
      <w:pPr>
        <w:spacing w:after="0" w:line="200" w:lineRule="exact"/>
        <w:rPr>
          <w:sz w:val="20"/>
          <w:szCs w:val="20"/>
          <w:color w:val="auto"/>
        </w:rPr>
      </w:pPr>
    </w:p>
    <w:p>
      <w:pPr>
        <w:spacing w:after="0" w:line="2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this Quarterly Report on Form 10-Q (this “Report” or “Form 10-Q”), the terms “Bancorp” and “RBB” refer to RBB Bancorp and the term “Bank” refers to Royal Business Bank. The terms “Company,” “we,” “us,” and “our” refer to Bancorp and its consolidated subsidiaries, including the Bank collectively. When we refer to the “parent company,” “Bancorp,” or the “holding company,” we are referring to RBB Bancorp, the parent company, on a stand-alone basis. This Report contains forward-looking statements. These forward-looking statements reflect our current views with respect to, among other things, future events and our results of operations, financial condition and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our financial performance to differ materially from that expressed in such forward-looking statements:</w:t>
      </w:r>
    </w:p>
    <w:p>
      <w:pPr>
        <w:spacing w:after="0" w:line="162" w:lineRule="exact"/>
        <w:rPr>
          <w:sz w:val="20"/>
          <w:szCs w:val="20"/>
          <w:color w:val="auto"/>
        </w:rPr>
      </w:pPr>
    </w:p>
    <w:p>
      <w:pPr>
        <w:jc w:val="both"/>
        <w:ind w:left="820" w:hanging="326"/>
        <w:spacing w:after="0" w:line="25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generally and in the financial services industry, nationally and within our current and future geographic markets, including the tight labor market, ineffective management of the United States (“U.S.”) federal budget or debt or turbulence or uncertainly in domestic or foreign financial markets;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U.S. economy in general and the strength of the local economies in which we conduct operations;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in the banking industry highlighted by high-profile bank failures and the potential impact of such developments on customer confidence, liquidity and regulatory responses to these developments;</w:t>
      </w: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shutdowns and uncertainty regarding the federal government's debt limit;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additional provisions for credit losses and charge-offs;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of lending activities and deterioration in asset or credit quality;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laws and regulations and supervision that we are subject to, including potential supervisory action by bank supervisory authorities;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Bank Secrecy Act and other money laundering statutes and regulations;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goodwill impairment;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debt covenants;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acquisitions and the expansion of our business into new markets;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deflation;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market conditions and the value of real estate collateral;</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having concentrations in our loan portfolio, including commercial real estate and the risks of geographic and industry concentrations;</w:t>
      </w: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larger competitors;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management of reputational risk;</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earthquakes, fires, or other adverse external events could harm our business;</w:t>
      </w:r>
    </w:p>
    <w:p>
      <w:pPr>
        <w:sectPr>
          <w:pgSz w:w="11900" w:h="16882" w:orient="portrait"/>
          <w:cols w:equalWidth="0" w:num="1">
            <w:col w:w="11240"/>
          </w:cols>
          <w:pgMar w:left="320" w:top="121" w:right="339" w:bottom="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840" w:hanging="333"/>
        <w:spacing w:after="0" w:line="257"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including acts or threats of terrorism, actions taken by the U.S. or other governments in response to acts or threats of terrorism and/or military conflicts, including the wars between Russia and Ukraine and in the Middle East, and increasing tensions between China and Taiwan, which could impact business and economic conditions in the U.S. and abroad;</w:t>
      </w:r>
    </w:p>
    <w:p>
      <w:pPr>
        <w:spacing w:after="0" w:line="1" w:lineRule="exact"/>
        <w:rPr>
          <w:rFonts w:ascii="Times New Roman" w:cs="Times New Roman" w:eastAsia="Times New Roman" w:hAnsi="Times New Roman"/>
          <w:sz w:val="18"/>
          <w:szCs w:val="18"/>
          <w:color w:val="auto"/>
        </w:rPr>
      </w:pPr>
    </w:p>
    <w:p>
      <w:pPr>
        <w:ind w:left="84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policies, and related tensions, which could impact our clients, specific industry sectors, and/or broader economic conditions and financial market;</w:t>
      </w:r>
    </w:p>
    <w:p>
      <w:pPr>
        <w:ind w:left="840" w:right="2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and pandemics, and their effects on the economic and business environments in which we operate, including our credit quality and business operations, as well as the impact on general economic and financial market conditions;</w:t>
      </w: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business conditions in Asia, and other regions where the Bank has operations;</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interruptions, or security breaches of our information systems;</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including any enhanced regulatory, compliance, credit and reputational risks and costs;</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the cost of defending against them;</w:t>
      </w:r>
    </w:p>
    <w:p>
      <w:pPr>
        <w:spacing w:after="0" w:line="9" w:lineRule="exact"/>
        <w:rPr>
          <w:rFonts w:ascii="Times New Roman" w:cs="Times New Roman" w:eastAsia="Times New Roman" w:hAnsi="Times New Roman"/>
          <w:sz w:val="18"/>
          <w:szCs w:val="18"/>
          <w:color w:val="auto"/>
        </w:rPr>
      </w:pPr>
    </w:p>
    <w:p>
      <w:pPr>
        <w:ind w:left="840" w:hanging="333"/>
        <w:spacing w:after="0" w:line="236"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systems to the expanding use of technology in banking;</w:t>
      </w:r>
    </w:p>
    <w:p>
      <w:pPr>
        <w:ind w:left="840" w:hanging="333"/>
        <w:spacing w:after="0" w:line="219"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processes and strategies;</w:t>
      </w: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regulatory enforcement actions, if any;</w:t>
      </w:r>
    </w:p>
    <w:p>
      <w:pPr>
        <w:spacing w:after="0" w:line="7"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charter and bylaws that may affect acquisition of the Company;</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w:t>
      </w:r>
    </w:p>
    <w:p>
      <w:pPr>
        <w:spacing w:after="0" w:line="9" w:lineRule="exact"/>
        <w:rPr>
          <w:rFonts w:ascii="Times New Roman" w:cs="Times New Roman" w:eastAsia="Times New Roman" w:hAnsi="Times New Roman"/>
          <w:sz w:val="18"/>
          <w:szCs w:val="18"/>
          <w:color w:val="auto"/>
        </w:rPr>
      </w:pPr>
    </w:p>
    <w:p>
      <w:pPr>
        <w:ind w:left="840" w:right="2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governmental efforts to restructure the U.S. financial regulatory system and increased costs of compliance and other risks associated with changes in regulation, including any amendments to the Dodd-Frank Wall Street Reform and Consumer Protection Act;</w:t>
      </w:r>
    </w:p>
    <w:p>
      <w:pPr>
        <w:ind w:left="84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the Federal Deposit Insurance Corporation (“FDIC”) insurance assessment rate and the rules and regulations related to the calculation of the FDIC insurance assessments;</w:t>
      </w:r>
    </w:p>
    <w:p>
      <w:pPr>
        <w:jc w:val="both"/>
        <w:ind w:left="84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accounting policies and practices or accounting standards, as may be adopted from time-to-time by bank regulatory agencies, the U.S. Securities and Exchange Commission (“SEC”), the Public Company Accounting Oversight Board, the Financial Accounting Standards Board (“FASB”) or other accounting standards setters;</w:t>
      </w:r>
    </w:p>
    <w:p>
      <w:pPr>
        <w:spacing w:after="0" w:line="1"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stock price;</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dividends and other distributions by laws and regulations and by our regulators and our capital structure;</w:t>
      </w:r>
    </w:p>
    <w:p>
      <w:pPr>
        <w:spacing w:after="0" w:line="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if needed, and the potential resulting dilution of interests of holders of our common stock;</w:t>
      </w:r>
    </w:p>
    <w:p>
      <w:pPr>
        <w:spacing w:after="0" w:line="9" w:lineRule="exact"/>
        <w:rPr>
          <w:rFonts w:ascii="Times New Roman" w:cs="Times New Roman" w:eastAsia="Times New Roman" w:hAnsi="Times New Roman"/>
          <w:sz w:val="18"/>
          <w:szCs w:val="18"/>
          <w:color w:val="auto"/>
        </w:rPr>
      </w:pPr>
    </w:p>
    <w:p>
      <w:pPr>
        <w:ind w:left="840" w:hanging="333"/>
        <w:spacing w:after="0" w:line="250"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our ongoing relations with our various federal and state regulators, including the SEC, FDIC, FRB, California Department of Financial Protection and Innovation and Consumer Financial Protection Bureau; and</w:t>
      </w:r>
    </w:p>
    <w:p>
      <w:pPr>
        <w:ind w:left="840" w:hanging="33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at managing the risks involved in the foregoing items.</w:t>
      </w:r>
    </w:p>
    <w:p>
      <w:pPr>
        <w:spacing w:after="0" w:line="2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Management has established various accounting policies that govern the application of generally accepted accounting principles in the U.S. (“GAAP”) in the preparation of our financial statements. Certain accounting policies require management to make estimates and assumptions that affect the reported amounts of assets and liabilities, revenues and expenses, and related disclosures of contingent assets and liabilities at the date of our financial statements. Actual results may differ from these estimates under different assumptions or conditions. The Company’s critical accounting policies consist of the allowance for credit losses on loans held for investment, goodwill and income taxes. Please see Part II, </w:t>
      </w:r>
      <w:r>
        <w:rPr>
          <w:rFonts w:ascii="Times New Roman" w:cs="Times New Roman" w:eastAsia="Times New Roman" w:hAnsi="Times New Roman"/>
          <w:sz w:val="18"/>
          <w:szCs w:val="18"/>
          <w:i w:val="1"/>
          <w:i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in our Annual Report on Form 10-K for the year ended December 31, 2025 (our "2025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for additional discussion concerning these critical accounting policies. Also, our significant accounting policies are described in greater detail in Note 2 – Basis of Presentation and Summary of Significant Accounting Policies to the audited consolidated financial statements included in our 2025 Annual Report and the consolidated financial statements in this Form 10-Q and are essential to understanding Management’s Discussion and Analysis of Financial Condition and Results of Operations.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Allowance for Credit Losses (ACL)</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sensitivity analysis of our ACL was performed as of March 31, 2026. Based on this sensitivity analysis, a 25% increase in the assumed prepayment speed on loans would result in an $899,000, or 2.04%, decrease to the ACL. A 25% decrease in the assumed prepayment speed on loans would result in a $1.1 million, or 2.56%, increase to the ACL. Additionally, a one percentage point increase in the unemployment rate would result in a $1.1 million, or 2.46%, increase to the ACL and a one percentage point decrease in the unemployment rate would result in a $970,000, or 2.20%, decrease to the ACL. Management reviews the results using the comparison scenario for sensitivity analysis and considers the results when evaluating the qualitative factor adjustments.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 quarterly basis, we stress test our nine qualitative risk factors, which are categorized by lending policy, procedures and strategies; economic conditions; changes in nature and volume of the portfolio; credit and lending staff; problem loan trends; loan review results; collateral value; concentrations; and regulatory and business environment, by creating two scenarios, a moderate stress scenario and a major stress scenario. In the Moderate Stress scenario, the status of the nine risk factors across all pooled loan types were set at “High-Moderate Risk” while in the Major Stress scenario, the status of the nine risk factors across all pooled loan types were set at “Major Risk.” Under the Moderate Stress scenario, the ACL would increase by $11.0 million, or 24.89%, as of March 31, 2026. Under the Major Stress scenario, the ACL would increase by $31.3 million, or 70.80%, as of March 31, 2026. Management compared the stress test results to our internal forecasts for earnings and capital and has concluded that the Company would remain well-capitalized under these stressed scenarios.</w:t>
      </w:r>
    </w:p>
    <w:p>
      <w:pPr>
        <w:sectPr>
          <w:pgSz w:w="11900" w:h="16838" w:orient="portrait"/>
          <w:cols w:equalWidth="0" w:num="1">
            <w:col w:w="11240"/>
          </w:cols>
          <w:pgMar w:left="320" w:top="121" w:right="339" w:bottom="65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5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For additional information on the policies, methodologies and judgments used to determine the ACL, see Part II, </w:t>
      </w:r>
      <w:r>
        <w:rPr>
          <w:rFonts w:ascii="Times New Roman" w:cs="Times New Roman" w:eastAsia="Times New Roman" w:hAnsi="Times New Roman"/>
          <w:sz w:val="18"/>
          <w:szCs w:val="18"/>
          <w:i w:val="1"/>
          <w:iCs w:val="1"/>
          <w:color w:val="auto"/>
        </w:rPr>
        <w:t>Item 7. 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Financial Condition and Results of Operations — Critical Accounting Policies </w:t>
      </w:r>
      <w:r>
        <w:rPr>
          <w:rFonts w:ascii="Times New Roman" w:cs="Times New Roman" w:eastAsia="Times New Roman" w:hAnsi="Times New Roman"/>
          <w:sz w:val="18"/>
          <w:szCs w:val="18"/>
          <w:color w:val="auto"/>
        </w:rPr>
        <w:t>in our 2025 Annual Report and Note 4 —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Credit Losses in the consolidated financial statements in this Form 10-Q.</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RBB Bancorp is a bank holding company registered under the Bank Holding Company Act of 1956, as amended. RBB Bancorp’s principal business is to serve as the holding company for its wholly-owned subsidiaries, the Bank and RAM. RAM was formed in 2012 to hold and manage problem assets acquired in business combinations. There are no problem assets at RAM or activity in this subsidiary for the three months ended March 31, 2026, or the year ended December 31, 2025. At March 31, 2026, we had total assets of $4.2 billion, gross loans held for investment ("HFI") of $3.3 billion, total deposits of $3.3 billion, and total shareholders' equity of $531.1 million. RBB’s common stock trades on the Nasdaq Global Select Market under the symbol “RBB.”</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Bank provides business-banking products and services predominantly to Asian-centric communities through full service branches located in Los Angeles County, Orange County and Ventura County in California, in the Las Vegas (Nevada), the New York City metropolitan areas, Chicago (Illinois), Edison (New Jersey), and Honolulu (Hawaii). The products and services include commercial and investor real estate loans, business loans and lines of credit, Small Business Administration (“SBA”) 7A and 504 loans, mortgage loans, trade finance, and a full range of depository accounts, including specialized services such as remote deposit, E-banking, mobile banking, and treasury management services.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operate as a minority depository institution ("MDI"), which is defined by the FDIC as a federally insured depository institution where 51% or more of the voting stock is owned by minority individuals or a majority of the board of directors is minority and the community that the institution serves is predominantly minority. A MDI is eligible to receive support from the FDIC and other federal regulatory agencies such as training, technical assistance, and review of proposed new deposit taking and lending programs, and the adoption of applicable policies and procedures governing such programs. We intend to maintain our MDI designation, as it is expected that at least 51% of our issued and outstanding shares of capital shall remain owned by minority individuals or a majority of the board of directors is minority and the community that the institution serves is predominantly minority. The MDI designation has been historically beneficial to us, and we continue to use the program for technical assistance.</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24 banking offices in Arcadia, Cerritos, Diamond Bar, Irvine, Los Angeles, Monterey Park, Oxnard, Rowland Heights, San Gabriel, Silver Lake, Torrance, and Westlake Village, California; Las Vegas, Nevada; Manhattan, Brooklyn, Flushing, and Elmhurst, New York; the Chinatown and Bridgeport neighborhoods of Chicago, Illinois; Edison, New Jersey; and Honolulu, Hawaii. Our primary source of revenue is providing loans to customers, who are predominately small and middle-market businesses and individuals.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RBB and its wholly owned subsidiaries. This information is intended to facilitate an understanding and assessment of significant changes and trends related to our financial condition and results of operations. This discussion and analysis should be read in conjunction with our audited consolidated financial statements included in our 2025 Annual Report, and the unaudited consolidated financial statements and accompanying notes presented elsewhere in this Report. The financial results for the three months ended March 31, 2026, are not necessarily indicative of the results expected for the year ending December 31, 2026.</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reported net income of $11.3 million, or $0.66 diluted earnings per share, for the quarter ended March 31, 2026, compared to net income of $10.2 million, or $0.59 diluted earnings per share, for the quarter ended December 31, 2025, and $2.3 million, or $0.13 diluted earnings per share, for the quarter ended March 31, 2025. Net income for the first quarter of 2026 reflected higher net interest income, lower credit costs, and higher noninterest income as compared to the prior quarter and the same quarter last year.</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provision for credit losses was a reversal of $200,000 for the first quarter of 2026 compared to a provision of $600,000 and $6.8 million for the quarters ended December 31, 2025, and March 31, 2025. The first quarter of 2026 reversal of provision for credit losses was supported by paydowns on loans with specific reserves, the impact of stabilized credit quality trends, and positive underlying economic forecast indicators, which offset the need for provisions related to new loan originations. Net charge-offs in the first quarter of 2026 represented 0.00% of average loans on an annualized basis, compared to 0.20% for the fourth quarter of 2025 and 0.35% for the first quarter of 2025.</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March 31, 2026, total assets were $4.2 billion, a decrease of $14.0 million from December 31, 2025. The decrease in total assets was primarily the result of a decrease of $15.4 million in cash and cash equivalents and a decrease of $10.5 million in income tax receivable. The decrease in cash supported an increase of $10.9 million in gross loans HFI to $3.3 billion at March 31, 2026, and an increase of $8.6 million in securities available for sale ("AFS") to $415.8 million at March 31, 2026. The decrease in income tax receivable of $10.5 million was the result of refunds of taxes previously paid that were received from taxing authorities in the first quarter of 2026. Total deposits decreased by $10.5 million to $3.3 billion as of March 31, 2026. The decrease in total deposits during the first quarter of 2026 was due to a $61.9 million decrease in wholesale deposits offset by a $51.4 million increase in retail deposits. The increase in retail deposits included a $219.4 million increase in non-maturity interest-bearing deposits and a $168.4 million decrease in time deposits as a portion of the maturing time deposits moved into a high-yield savings product. Noninterest-bearing demand deposits totaled $526.9 million, or 15.8% of total deposits, at March 31, 2026, which is similar to the balances at December 31, 2025. The gross loan to deposit ratio was 99.6% at March 31, 2026, compared to 99.0% at December 31, 2025.</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Nonperforming assets decreased $4.6 million to $48.8 million, or 1.16% of total assets, at March 31, 2026, from $53.5 million, or 1.27% of total assets, at December 31, 2025. The $4.6 million decrease in nonperforming assets was primarily attributable to a $4.6 million decrease in OREO to $4.3 million at March 31, 2026, compared to $8.8 million at December 31, 2025. The decrease in OREO was due to the sale of one property and a $350,000 valuation provision on a remaining OREO property. The sale resulted in a $1.2 million gain.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Loans classified as substandard decreased by $2.7 million during the first quarter of 2026 due to payoffs and paydowns totaling $3.0 million and upgrades to pass-rated status of $1.1 million, partially offset by downgrades to substandard totaling $1.5 million. Loans classified as special mention increased $5.5 million due to downgrades of $5.8 million, partially offset by paydowns of $303,000.</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allowance for credit losses totaled $44.2 million, down from $44.4 million at December 31, 2025. The $222,000 decrease in the allowance for credit losses for the first quarter of 2026 was due to a $200,000 reversal of provision for credit losses and net charge-offs of $22,000. The allowance for loan losses ("ALL") as a percentage of loans HFI totaled 1.31% at March 31, 2026, compared to 1.32% at December 31, 2025. The ALL as a percentage of nonperforming loans HFI was 97.98% at March 31, 2026, and 98.33% at December 31, 2025.</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shareholders' equity was $531.1 million, or $31.10 book value per share, at March 31, 2026, compared to $523.4 million, or $30.69 book value per share, at December 31, 2025. The increase in shareholders' equity for the first quarter of 2026 compared to the prior quarter was due mostly to net income of $11.3 million, offset by common stock cash dividends paid of $2.8 million and higher net unrealized losses on AFS securities of $962,000. Tangible book value per share increased to $26.84 at March 31, 2026, up from $26.42 at December 31, 2025. For additional information on tangible book value per share, see "Non-GAAP Financial Measures."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5"/>
          </w:tcPr>
          <w:p>
            <w:pPr>
              <w:ind w:left="3840"/>
              <w:spacing w:after="0"/>
              <w:rPr>
                <w:sz w:val="20"/>
                <w:szCs w:val="20"/>
                <w:color w:val="auto"/>
              </w:rPr>
            </w:pPr>
            <w:r>
              <w:rPr>
                <w:rFonts w:ascii="Times New Roman" w:cs="Times New Roman" w:eastAsia="Times New Roman" w:hAnsi="Times New Roman"/>
                <w:sz w:val="18"/>
                <w:szCs w:val="18"/>
                <w:b w:val="1"/>
                <w:bCs w:val="1"/>
                <w:color w:val="auto"/>
              </w:rPr>
              <w:t>ANALYSIS OF RESULTS OF OPERATIONS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5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5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5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gridSpan w:val="9"/>
          </w:tcPr>
          <w:p>
            <w:pPr>
              <w:jc w:val="center"/>
              <w:ind w:right="3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 except per share data)</w:t>
            </w: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56,803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57,193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52,336</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26,173</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(Reversal of)/provision for credit losses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6,746</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 after (reversal of)/provision for credit losses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18,522</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60" w:type="dxa"/>
            <w:vAlign w:val="bottom"/>
          </w:tcPr>
          <w:p>
            <w:pPr>
              <w:spacing w:after="0"/>
              <w:rPr>
                <w:sz w:val="18"/>
                <w:szCs w:val="18"/>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r>
      <w:tr>
        <w:trPr>
          <w:trHeight w:val="26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60" w:type="dxa"/>
            <w:vAlign w:val="bottom"/>
            <w:tcBorders>
              <w:bottom w:val="single" w:sz="8" w:color="CCEEFF"/>
            </w:tcBorders>
          </w:tcPr>
          <w:p>
            <w:pPr>
              <w:spacing w:after="0"/>
              <w:rPr>
                <w:sz w:val="22"/>
                <w:szCs w:val="22"/>
                <w:color w:val="auto"/>
              </w:rPr>
            </w:pPr>
          </w:p>
        </w:tc>
      </w:tr>
      <w:tr>
        <w:trPr>
          <w:trHeight w:val="196"/>
        </w:trPr>
        <w:tc>
          <w:tcPr>
            <w:tcW w:w="5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Earnings per common share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Performance Ratios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on average shareholders’ equity, annualized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Return on average tangible common equity, annualized </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54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Efficiency ratio </w:t>
            </w:r>
            <w:r>
              <w:rPr>
                <w:rFonts w:ascii="Times New Roman" w:cs="Times New Roman" w:eastAsia="Times New Roman" w:hAnsi="Times New Roman"/>
                <w:sz w:val="25"/>
                <w:szCs w:val="25"/>
                <w:color w:val="auto"/>
                <w:vertAlign w:val="superscript"/>
              </w:rPr>
              <w:t>(3)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65.09%</w:t>
            </w: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Tangible common equity to tangible assets </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r>
      <w:tr>
        <w:trPr>
          <w:trHeight w:val="331"/>
        </w:trPr>
        <w:tc>
          <w:tcPr>
            <w:tcW w:w="5420" w:type="dxa"/>
            <w:vAlign w:val="bottom"/>
          </w:tcPr>
          <w:p>
            <w:pPr>
              <w:ind w:left="180"/>
              <w:spacing w:after="0" w:line="331" w:lineRule="exact"/>
              <w:rPr>
                <w:sz w:val="20"/>
                <w:szCs w:val="20"/>
                <w:color w:val="auto"/>
              </w:rPr>
            </w:pPr>
            <w:r>
              <w:rPr>
                <w:rFonts w:ascii="Times New Roman" w:cs="Times New Roman" w:eastAsia="Times New Roman" w:hAnsi="Times New Roman"/>
                <w:sz w:val="18"/>
                <w:szCs w:val="18"/>
                <w:color w:val="auto"/>
              </w:rPr>
              <w:t xml:space="preserve">Tangible book value per share </w:t>
            </w:r>
            <w:r>
              <w:rPr>
                <w:rFonts w:ascii="Times New Roman" w:cs="Times New Roman" w:eastAsia="Times New Roman" w:hAnsi="Times New Roman"/>
                <w:sz w:val="29"/>
                <w:szCs w:val="29"/>
                <w:color w:val="auto"/>
                <w:vertAlign w:val="superscript"/>
              </w:rPr>
              <w:t>(2)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12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jc w:val="both"/>
        <w:ind w:left="1140" w:hanging="484"/>
        <w:spacing w:after="0"/>
        <w:tabs>
          <w:tab w:leader="none" w:pos="1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earnings per share is calculated by dividing net income by the weighted average number of common shares outstanding. Diluted earnings per share is calculated by dividing net income by the weighted average number of shares adjusted for the dilutive effect of outstanding stock options and restricted stock units using the treasury stock method.</w:t>
      </w:r>
    </w:p>
    <w:p>
      <w:pPr>
        <w:spacing w:after="0" w:line="123" w:lineRule="exact"/>
        <w:rPr>
          <w:rFonts w:ascii="Times New Roman" w:cs="Times New Roman" w:eastAsia="Times New Roman" w:hAnsi="Times New Roman"/>
          <w:sz w:val="14"/>
          <w:szCs w:val="14"/>
          <w:color w:val="auto"/>
        </w:rPr>
      </w:pPr>
    </w:p>
    <w:p>
      <w:pPr>
        <w:ind w:left="1140" w:hanging="484"/>
        <w:spacing w:after="0" w:line="221" w:lineRule="auto"/>
        <w:tabs>
          <w:tab w:leader="none" w:pos="1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tangible common equity, tangible common equity to tangible assets, and tangible book value per share are non-GAAP financial measures. See "Non-GAAP Financial Measures" for a reconciliation of these measures to their most comparable GAAP measures.</w:t>
      </w:r>
    </w:p>
    <w:p>
      <w:pPr>
        <w:ind w:left="1140" w:hanging="484"/>
        <w:spacing w:after="0"/>
        <w:tabs>
          <w:tab w:leader="none" w:pos="1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calculated by dividing noninterest expense by the sum of net interest income before provision for credit losses and noninterest income.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Balance Sheet, Interest and Yield/Rate Analysis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principal component of our earnings is net interest income, which is the difference between the interest and fees earned on loans, cash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 of 21% for 2026 and 2025.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For additional information see “</w:t>
      </w:r>
      <w:r>
        <w:rPr>
          <w:rFonts w:ascii="Times New Roman" w:cs="Times New Roman" w:eastAsia="Times New Roman" w:hAnsi="Times New Roman"/>
          <w:sz w:val="18"/>
          <w:szCs w:val="18"/>
          <w:i w:val="1"/>
          <w:iCs w:val="1"/>
          <w:color w:val="auto"/>
        </w:rPr>
        <w:t>Capital Resources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Liquidity Management</w:t>
      </w:r>
      <w:r>
        <w:rPr>
          <w:rFonts w:ascii="Times New Roman" w:cs="Times New Roman" w:eastAsia="Times New Roman" w:hAnsi="Times New Roman"/>
          <w:sz w:val="18"/>
          <w:szCs w:val="18"/>
          <w:color w:val="auto"/>
        </w:rPr>
        <w:t>” and Part I,</w:t>
      </w:r>
      <w:r>
        <w:rPr>
          <w:rFonts w:ascii="Times New Roman" w:cs="Times New Roman" w:eastAsia="Times New Roman" w:hAnsi="Times New Roman"/>
          <w:sz w:val="18"/>
          <w:szCs w:val="18"/>
          <w:i w:val="1"/>
          <w:iCs w:val="1"/>
          <w:color w:val="auto"/>
        </w:rPr>
        <w:t xml:space="preserve"> Item 3. "Quantitative and Qualitative Disclosures about Market Risk</w:t>
      </w:r>
      <w:r>
        <w:rPr>
          <w:rFonts w:ascii="Times New Roman" w:cs="Times New Roman" w:eastAsia="Times New Roman" w:hAnsi="Times New Roman"/>
          <w:sz w:val="18"/>
          <w:szCs w:val="18"/>
          <w:color w:val="auto"/>
        </w:rPr>
        <w:t>" included in this Report.</w:t>
      </w:r>
    </w:p>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average balance sheet information, interest income, interest expense and the corresponding average yields earned and rates paid for the periods presented. The average balances are daily averages and, for loans, include both performing and nonperforming balances.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jc w:val="center"/>
              <w:ind w:right="50"/>
              <w:spacing w:after="0" w:line="118" w:lineRule="exact"/>
              <w:rPr>
                <w:sz w:val="20"/>
                <w:szCs w:val="20"/>
                <w:color w:val="auto"/>
              </w:rPr>
            </w:pPr>
            <w:r>
              <w:rPr>
                <w:rFonts w:ascii="Times New Roman" w:cs="Times New Roman" w:eastAsia="Times New Roman" w:hAnsi="Times New Roman"/>
                <w:sz w:val="13"/>
                <w:szCs w:val="13"/>
                <w:b w:val="1"/>
                <w:bCs w:val="1"/>
                <w:color w:val="auto"/>
              </w:rPr>
              <w:t>Yield /</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0"/>
                <w:szCs w:val="10"/>
                <w:color w:val="auto"/>
              </w:rPr>
            </w:pPr>
          </w:p>
        </w:tc>
        <w:tc>
          <w:tcPr>
            <w:tcW w:w="660" w:type="dxa"/>
            <w:vAlign w:val="bottom"/>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Yield /</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60" w:type="dxa"/>
            <w:vAlign w:val="bottom"/>
          </w:tcPr>
          <w:p>
            <w:pPr>
              <w:jc w:val="center"/>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Yield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Fees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4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&amp; Fees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4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&amp; Fees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(dollars in</w:t>
            </w:r>
          </w:p>
        </w:tc>
        <w:tc>
          <w:tcPr>
            <w:tcW w:w="980" w:type="dxa"/>
            <w:vAlign w:val="bottom"/>
            <w:gridSpan w:val="3"/>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Interest-earning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Cash and cash equivalents </w:t>
            </w:r>
            <w:r>
              <w:rPr>
                <w:rFonts w:ascii="Times New Roman" w:cs="Times New Roman" w:eastAsia="Times New Roman" w:hAnsi="Times New Roman"/>
                <w:sz w:val="11"/>
                <w:szCs w:val="11"/>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215,930</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209,899</w:t>
            </w:r>
          </w:p>
        </w:tc>
        <w:tc>
          <w:tcPr>
            <w:tcW w:w="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2,275</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194,236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FHLB Stock</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760</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Securities </w:t>
            </w: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Available for sale</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404,610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3,955</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399,805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4,127</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390,178</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4,113</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Held to maturity</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xml:space="preserve">Total loans </w:t>
            </w: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3,296,165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49,938</w:t>
            </w:r>
          </w:p>
        </w:tc>
        <w:tc>
          <w:tcPr>
            <w:tcW w:w="2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3,295,603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50,447</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3,079,224</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45,621</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interest-earning assets</w:t>
            </w: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3,935,888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56,827</w:t>
            </w:r>
          </w:p>
        </w:tc>
        <w:tc>
          <w:tcPr>
            <w:tcW w:w="24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5.86%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3,924,491</w:t>
            </w: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57,218</w:t>
            </w:r>
          </w:p>
        </w:tc>
        <w:tc>
          <w:tcPr>
            <w:tcW w:w="22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3,683,827</w:t>
            </w:r>
          </w:p>
        </w:tc>
        <w:tc>
          <w:tcPr>
            <w:tcW w:w="2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52,362</w:t>
            </w:r>
          </w:p>
        </w:tc>
        <w:tc>
          <w:tcPr>
            <w:tcW w:w="20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Noninterest-earning assets</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4"/>
                <w:szCs w:val="14"/>
                <w:color w:val="auto"/>
              </w:rPr>
              <w:t>268,010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264,604</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260,508</w:t>
            </w:r>
          </w:p>
        </w:tc>
        <w:tc>
          <w:tcPr>
            <w:tcW w:w="2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bottom w:val="single" w:sz="8" w:color="CCEEFF"/>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Total average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4,203,898</w:t>
            </w:r>
          </w:p>
        </w:tc>
        <w:tc>
          <w:tcPr>
            <w:tcW w:w="8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4,189,095</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3,944,335</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Interest-bearing liabilities: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NOW</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73,637</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78,039</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61,222</w:t>
            </w:r>
          </w:p>
        </w:tc>
        <w:tc>
          <w:tcPr>
            <w:tcW w:w="34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Money market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529,013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3,795</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525,828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3,987</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463,443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3,625</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Saving deposits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441,123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191,841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155,116</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26"/>
        </w:trPr>
        <w:tc>
          <w:tcPr>
            <w:tcW w:w="2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Time deposits, $250,000 and</w:t>
            </w: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926,226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8,313</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1,044,315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9,927</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989,622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10,046</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71"/>
        </w:trPr>
        <w:tc>
          <w:tcPr>
            <w:tcW w:w="2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under</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Time deposits, greater than</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845,786</w:t>
            </w:r>
          </w:p>
        </w:tc>
        <w:tc>
          <w:tcPr>
            <w:tcW w:w="8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240" w:type="dxa"/>
            <w:vAlign w:val="bottom"/>
            <w:vMerge w:val="restart"/>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972,354</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9,661</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864,804</w:t>
            </w:r>
          </w:p>
        </w:tc>
        <w:tc>
          <w:tcPr>
            <w:tcW w:w="2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9,038</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$250,000</w:t>
            </w: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interest-bearing deposits</w:t>
            </w: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2,815,785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23,568</w:t>
            </w:r>
          </w:p>
        </w:tc>
        <w:tc>
          <w:tcPr>
            <w:tcW w:w="24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2,812,377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24,904</w:t>
            </w: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2,534,207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23,552</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FHLB advances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1,133</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176,833</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8"/>
        </w:trPr>
        <w:tc>
          <w:tcPr>
            <w:tcW w:w="2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119,945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1,289</w:t>
            </w: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8"/>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Subordinated debentures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2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15,175</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borrowings</w:t>
            </w: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265,339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2,732</w:t>
            </w:r>
          </w:p>
        </w:tc>
        <w:tc>
          <w:tcPr>
            <w:tcW w:w="24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265,187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2,781</w:t>
            </w: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4.16%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311,570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2,621</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26"/>
        </w:trPr>
        <w:tc>
          <w:tcPr>
            <w:tcW w:w="2280" w:type="dxa"/>
            <w:vAlign w:val="bottom"/>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Total interest-bearing</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3,081,124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26,300</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3,077,564</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27,685</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2,845,777</w:t>
            </w:r>
          </w:p>
        </w:tc>
        <w:tc>
          <w:tcPr>
            <w:tcW w:w="2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26,173</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92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80" w:type="dxa"/>
            <w:vAlign w:val="bottom"/>
            <w:gridSpan w:val="3"/>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9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Noninterest-bearing liabilities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Noninterest-bearing deposits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526,151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531,017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520,145</w:t>
            </w:r>
          </w:p>
        </w:tc>
        <w:tc>
          <w:tcPr>
            <w:tcW w:w="2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Other noninterest-bearing</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67,241</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61,320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66,151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80" w:type="dxa"/>
            <w:vAlign w:val="bottom"/>
            <w:shd w:val="clear" w:color="auto" w:fill="CCEEFF"/>
          </w:tcPr>
          <w:p>
            <w:pPr>
              <w:ind w:left="340"/>
              <w:spacing w:after="0" w:line="119" w:lineRule="exact"/>
              <w:rPr>
                <w:sz w:val="20"/>
                <w:szCs w:val="20"/>
                <w:color w:val="auto"/>
              </w:rPr>
            </w:pPr>
            <w:r>
              <w:rPr>
                <w:rFonts w:ascii="Times New Roman" w:cs="Times New Roman" w:eastAsia="Times New Roman" w:hAnsi="Times New Roman"/>
                <w:sz w:val="13"/>
                <w:szCs w:val="13"/>
                <w:color w:val="auto"/>
              </w:rPr>
              <w:t>Total noninterest-bearing</w:t>
            </w: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593,392</w:t>
            </w:r>
          </w:p>
        </w:tc>
        <w:tc>
          <w:tcPr>
            <w:tcW w:w="80" w:type="dxa"/>
            <w:vAlign w:val="bottom"/>
            <w:vMerge w:val="restart"/>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592,337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586,296</w:t>
            </w:r>
          </w:p>
        </w:tc>
        <w:tc>
          <w:tcPr>
            <w:tcW w:w="2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529,382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519,194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512,262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80" w:type="dxa"/>
            <w:vAlign w:val="bottom"/>
            <w:shd w:val="clear" w:color="auto" w:fill="CCEEFF"/>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Total liabilities and</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4,203,898</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4,189,095</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3,944,335</w:t>
            </w:r>
          </w:p>
        </w:tc>
        <w:tc>
          <w:tcPr>
            <w:tcW w:w="22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80" w:type="dxa"/>
            <w:vAlign w:val="bottom"/>
            <w:tcBorders>
              <w:bottom w:val="single" w:sz="8" w:color="CCEEFF"/>
            </w:tcBorders>
            <w:shd w:val="clear" w:color="auto" w:fill="CCEEFF"/>
          </w:tcPr>
          <w:p>
            <w:pPr>
              <w:ind w:left="500"/>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left w:val="single" w:sz="8" w:color="CCEEFF"/>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280" w:type="dxa"/>
            <w:vAlign w:val="bottom"/>
            <w:tcBorders>
              <w:top w:val="single" w:sz="8" w:color="CCEEFF"/>
            </w:tcBorders>
          </w:tcPr>
          <w:p>
            <w:pPr>
              <w:spacing w:after="0" w:line="106" w:lineRule="exact"/>
              <w:rPr>
                <w:sz w:val="20"/>
                <w:szCs w:val="20"/>
                <w:color w:val="auto"/>
              </w:rPr>
            </w:pPr>
            <w:r>
              <w:rPr>
                <w:rFonts w:ascii="Times New Roman" w:cs="Times New Roman" w:eastAsia="Times New Roman" w:hAnsi="Times New Roman"/>
                <w:sz w:val="12"/>
                <w:szCs w:val="12"/>
                <w:color w:val="auto"/>
              </w:rPr>
              <w:t>Net interest income/interest rate</w:t>
            </w: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30,527</w:t>
            </w:r>
          </w:p>
        </w:tc>
        <w:tc>
          <w:tcPr>
            <w:tcW w:w="240" w:type="dxa"/>
            <w:vAlign w:val="bottom"/>
            <w:tcBorders>
              <w:top w:val="single" w:sz="8" w:color="CCEEFF"/>
            </w:tcBorders>
          </w:tcPr>
          <w:p>
            <w:pPr>
              <w:spacing w:after="0"/>
              <w:rPr>
                <w:sz w:val="9"/>
                <w:szCs w:val="9"/>
                <w:color w:val="auto"/>
              </w:rPr>
            </w:pPr>
          </w:p>
        </w:tc>
        <w:tc>
          <w:tcPr>
            <w:tcW w:w="920" w:type="dxa"/>
            <w:vAlign w:val="bottom"/>
            <w:tcBorders>
              <w:top w:val="single" w:sz="8" w:color="CCEEFF"/>
            </w:tcBorders>
            <w:gridSpan w:val="3"/>
            <w:vMerge w:val="restart"/>
          </w:tcPr>
          <w:p>
            <w:pPr>
              <w:jc w:val="right"/>
              <w:spacing w:after="0" w:line="237" w:lineRule="exact"/>
              <w:rPr>
                <w:sz w:val="20"/>
                <w:szCs w:val="20"/>
                <w:color w:val="auto"/>
              </w:rPr>
            </w:pPr>
            <w:r>
              <w:rPr>
                <w:rFonts w:ascii="Times New Roman" w:cs="Times New Roman" w:eastAsia="Times New Roman" w:hAnsi="Times New Roman"/>
                <w:sz w:val="14"/>
                <w:szCs w:val="14"/>
                <w:color w:val="auto"/>
              </w:rPr>
              <w:t>2.40</w:t>
            </w:r>
            <w:r>
              <w:rPr>
                <w:rFonts w:ascii="Times New Roman" w:cs="Times New Roman" w:eastAsia="Times New Roman" w:hAnsi="Times New Roman"/>
                <w:sz w:val="27"/>
                <w:szCs w:val="27"/>
                <w:color w:val="auto"/>
                <w:vertAlign w:val="superscript"/>
              </w:rPr>
              <w:t>%</w:t>
            </w: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26,189</w:t>
            </w:r>
          </w:p>
        </w:tc>
        <w:tc>
          <w:tcPr>
            <w:tcW w:w="20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6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8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spreads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CCEEFF"/>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interest margin</w:t>
            </w: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3.15%</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left w:val="single" w:sz="8" w:color="CCEEFF"/>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cost of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3,341,936</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23,568</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3,343,394</w:t>
            </w:r>
          </w:p>
        </w:tc>
        <w:tc>
          <w:tcPr>
            <w:tcW w:w="3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24,904</w:t>
            </w: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3,054,352</w:t>
            </w:r>
          </w:p>
        </w:tc>
        <w:tc>
          <w:tcPr>
            <w:tcW w:w="34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23,552</w:t>
            </w:r>
          </w:p>
        </w:tc>
        <w:tc>
          <w:tcPr>
            <w:tcW w:w="9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38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Total cost of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3,607,275</w:t>
            </w:r>
          </w:p>
        </w:tc>
        <w:tc>
          <w:tcPr>
            <w:tcW w:w="28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26,300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2.96</w:t>
            </w:r>
            <w:r>
              <w:rPr>
                <w:rFonts w:ascii="Times New Roman" w:cs="Times New Roman" w:eastAsia="Times New Roman" w:hAnsi="Times New Roman"/>
                <w:sz w:val="28"/>
                <w:szCs w:val="28"/>
                <w:color w:val="auto"/>
                <w:vertAlign w:val="superscript"/>
              </w:rPr>
              <w:t>%</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3,608,581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27,685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3,365,922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26,173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and average balances for interest-earning time deposits and other miscellaneous interest-earning assets.</w:t>
      </w:r>
    </w:p>
    <w:p>
      <w:pPr>
        <w:spacing w:after="0" w:line="3"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and average rates for tax-exempt securities are presented on a tax-equivalent basis.</w:t>
      </w:r>
    </w:p>
    <w:p>
      <w:pPr>
        <w:ind w:left="660" w:right="220" w:hanging="328"/>
        <w:spacing w:after="0" w:line="239" w:lineRule="auto"/>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Interest income on loans includes the effects of discount accretion and net deferred loan origination fees and costs accounted for as yield adjustments.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extent to which changes in (1) volume and (2) interest rates of average interest-earning assets and average interest-bearing liabilities affected our net interest income for the periods presented. The total change for each category of interest-earning assets and interest-bearing liabilities is segmented into changes attributable to variations in volume and yield/rate. Changes that are not solely due to either volume or yield/rate are allocated proportionally based on the absolute value of the change related to average volume and average yield/rate.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 compared</w:t>
            </w:r>
          </w:p>
        </w:tc>
        <w:tc>
          <w:tcPr>
            <w:tcW w:w="3860" w:type="dxa"/>
            <w:vAlign w:val="bottom"/>
            <w:gridSpan w:val="9"/>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 compared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with Three Months Ended December 31, 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with Three Months Ended March 31, 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8"/>
                <w:szCs w:val="18"/>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60" w:type="dxa"/>
            <w:vAlign w:val="bottom"/>
          </w:tcPr>
          <w:p>
            <w:pPr>
              <w:spacing w:after="0"/>
              <w:rPr>
                <w:sz w:val="18"/>
                <w:szCs w:val="18"/>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8"/>
                <w:szCs w:val="18"/>
                <w:color w:val="auto"/>
              </w:rPr>
            </w:pPr>
          </w:p>
        </w:tc>
        <w:tc>
          <w:tcPr>
            <w:tcW w:w="10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Cash and cash equivalents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Total loans </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ind w:left="500"/>
              <w:spacing w:after="0" w:line="210" w:lineRule="exact"/>
              <w:rPr>
                <w:sz w:val="20"/>
                <w:szCs w:val="20"/>
                <w:color w:val="auto"/>
              </w:rPr>
            </w:pPr>
            <w:r>
              <w:rPr>
                <w:rFonts w:ascii="Times New Roman" w:cs="Times New Roman" w:eastAsia="Times New Roman" w:hAnsi="Times New Roman"/>
                <w:sz w:val="15"/>
                <w:szCs w:val="15"/>
                <w:color w:val="auto"/>
              </w:rPr>
              <w:t xml:space="preserve">Total interest-earning assets </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4,465</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less than $250,000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$250,000 and over</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FHLB advances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debentures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net 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income and average balances for interest-earning time deposits and other miscellaneous interest-earning assets.</w:t>
      </w:r>
    </w:p>
    <w:p>
      <w:pPr>
        <w:spacing w:after="0" w:line="3" w:lineRule="exact"/>
        <w:rPr>
          <w:rFonts w:ascii="Times New Roman" w:cs="Times New Roman" w:eastAsia="Times New Roman" w:hAnsi="Times New Roman"/>
          <w:sz w:val="14"/>
          <w:szCs w:val="14"/>
          <w:color w:val="auto"/>
        </w:rPr>
      </w:pPr>
    </w:p>
    <w:p>
      <w:pPr>
        <w:ind w:left="660" w:hanging="328"/>
        <w:spacing w:after="0" w:line="22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and average rates for tax-exempt securities are presented on a tax-equivalent basis.</w:t>
      </w:r>
    </w:p>
    <w:p>
      <w:pPr>
        <w:ind w:left="660" w:right="220" w:hanging="328"/>
        <w:spacing w:after="0" w:line="239"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Interest income on loans includes the effects of discount accretion and net deferred loan origination fees and costs accounted for as yield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-395605</wp:posOffset>
            </wp:positionV>
            <wp:extent cx="4989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Income/Average Balance Sheet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December 31, 2025</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interest income increased $994,000 to $30.5 million for the first quarter of 2026, compared to $29.5 million for the fourth quarter of 2025. Net interest income increased despite 2 fewer days in the current quarter and was comprised of a $1.4 million decrease in interest expense, offset by a $390,000 decrease in interest income. The decrease in interest expense was due mostly to the impact of fewer days in the quarter and a decrease in the cost of interest-bearing liabilities while average balances remained relatively unchanged quarter over quarter. The decrease in interest expense was comprised of a $3.4 million decrease in interest on time deposits, offset by a $2.0 million increase in interest on non-maturity interest-bearing accounts as a portion of maturing time deposits moved to a high-yield savings product. The decrease in interest income was due mostly to fewer days in the quarter and the impact of a lower yield on cash and securities, offset by the impact of a higher loan yield and a special FHLB dividend in addition to their normal quarterly dividend. The decrease in interest income was comprised of a $509,000 decrease in loan interest income and a $315,000 decrease in interest on cash and investment securities, offset by the FHLB special dividend of $430,000.</w:t>
      </w:r>
    </w:p>
    <w:p>
      <w:pPr>
        <w:spacing w:after="0" w:line="18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net interest margin (“NIM”) increased 16 basis points to 3.15% for the first quarter of 2026, from 2.99% for the fourth quarter of 2025. The NIM increase included an 8 basis point increase in the yield on average total interest-earning assets and an 8 basis point decrease in the overall cost of funds. The yield on average total interest-earning assets increased to 5.86% for the first quarter of 2026 from 5.78% for the fourth quarter of 2025 due mostly to the impact of a 7 basis point increase in the yield on average loans and a 4 basis point increase from the FHLB special dividend. Average loans represented 84% of average interest-earning assets in the first quarter of 2026, which was unchanged from the fourth quarter of 2025.</w:t>
      </w:r>
    </w:p>
    <w:p>
      <w:pPr>
        <w:spacing w:after="0" w:line="200" w:lineRule="exact"/>
        <w:rPr>
          <w:sz w:val="20"/>
          <w:szCs w:val="20"/>
          <w:color w:val="auto"/>
        </w:rPr>
      </w:pPr>
    </w:p>
    <w:p>
      <w:pPr>
        <w:spacing w:after="0" w:line="20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average total cost of funds decreased to 2.96% for the first quarter of 2026 from 3.04% for the fourth quarter of 2025, due mostly to a 10 basis point decrease in the overall cost of deposits to 2.86% for the first quarter of 2026. The total cost of deposits decreased due to a 12 basis point decrease in the cost of average interest-bearing deposits to 3.39% due to the mix of deposits and the continued repricing of deposits into the current rate environment. The average overnight Federal Funds Rate was 3.64% for the first quarter of 2026 compared to 3.90% for the fourth quarter of 2025. Average noninterest-bearing deposits represented approximately 16% of average total deposits for the first quarter of 2026 and fourth quarter of 2025. The period end weighted average interest rate for total deposits was 2.79% at March 31, 2026.</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interest income increased $4.3 million to $30.5 million for the first quarter of 2026, compared to $26.2 million for the first quarter of 2025. The increase in net interest income was due to an increase in interest income of $4.5 million, offset by a $127,000 increase in interest expense. The increase in interest income was driven by loan growth as average total interest-earning assets were $252.1 million, or 6.8%, higher for the first quarter of 2026 compared to the same quarter in 2025. The increase in interest expense was primarily due to an increase in the average balance of interest-bearing deposits, offset by lower rates paid on those deposits.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$4.5 million increase in interest income was due mainly to a $4.3 million increase in interest income from average total loans, of which $3.3 million was attributed to higher average balances and $1.0 million was attributed to an increase in rates. Average total loans increased $216.9 million due to strong loan growth since the end of the first quarter of 2025. The yield on average total loans increased 13 basis points to 6.14% for the quarter ended March 31, 2026 compared to 6.01% for the quarter ended March 31, 2025.</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$127,000 increase in interest expense was due mainly to higher interest expense on FHLB advances of $144,000 and an increase of $16,000 in interest expense on average interest-bearing deposits. Interest expense on FHLB advances increased due mainly to a 126 basis point increase in the average rate paid on FHLB advances as $150 million of fixed rate term advances matured during the first quarter of 2025 and were replaced in the higher rate environment, offset partially by the effect of the decrease in the average balance of outstanding FHLB advances. The increase in interest expense on average total interest-bearing deposits was primarily due to an increase of $281.6 million in the average balance of interest-bearing deposits, offset almost entirely by the impact of a 38 basis point decrease in the interest rate paid on total average interest-bearing deposits as deposits repriced in the current rate environment. The Federal Reserve lowered market interest rates 75 basis points since the end of the first quarter of 2025. The average overnight Federal Funds Rate was 3.64% for the first quarter of 2026 compared to 4.33% for the first quarter of 2025.</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NIM was 3.15% for the first quarter of 2026, an increase of 27 basis points from 2.88% for the first quarter of 2025. The increase was primarily due to a 19 basis point decrease in the total cost of funds to 2.96% combined with a 10 basis point increase in the yield on average total interest-earning assets to 5.86% for the first quarter of 2026 when compared to the rates for the first quarter of 2025. The increase in the yield on average total interest-earning assets was due mainly to an increase in loan rates, as well as the impact of the FHLB special dividend in the first quarter of 2026; there was no FHLB special dividend in 2025. The decrease in funding costs was due to the lower average total cost of interest-bearing deposits, offset by the higher average total cost for FHLB advances. Average noninterest-bearing deposits totaled $526.1 million, or 16% of total average deposits, for the first quarter of 2026 compared to $520.2 million, or 17% of total average deposits, for the first quarter of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December 31, 2025</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provision for credit losses was a $200,000 reversal for the first quarter of 2026 compared to a $600,000 provision for the fourth quarter of 2025. The first quarter of 2026 reversal of provision for credit losses was supported by paydowns on loans with specific reserves, the impact of stabilized credit quality trends, and positive underlying economic forecast indicators, which offset the need for provisions related to new loan originations. Net charge-offs on an annualized basis represented 0.00% of average loans for the first quarter of 2026 compared to 0.20% for the fourth quarter of 2025.</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provision for credit losses was a $200,000 reversal for the first quarter of 2026 compared to a $6.8 million provision for the first quarter of 2025. The provision for credit losses for the first quarter of 2025 was the result of an increase in specific reserves of $2.8 million, net charge-offs of $2.6 million and an increase in general reserves of $1.3 million due mainly to net loan growth. Net charge-offs on an annualized basis represented 0.35% for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major components of our noninterest income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8"/>
              </w:rPr>
              <w:t>(dollars in 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fees</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income, net of amortization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surrender value of BOLI</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OREO</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December 31, 2025</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Noninterest income for the first quarter of 2026 was $4.3 million, an increase of $1.4 million from $2.8 million for the fourth quarter of 2025. The increase in noninterest income was mainly due to higher net gain on OREO of $890,000, recoveries of fully charged-off acquired loans of $484,000, and interest income on the tax refunds related to purchased federal tax credits of $360,000, offset partially by lower gain on sale of loans of $133,000. The sale of $4.9 million of mortgage loans and $4.0 million of Small Business Administration (“SBA”) loans resulted in gains of $324,000 for the first quarter of 2026 compared to the sale of mortgage loans of $22.0 million and SBA loans of $2.9 million for gains of $457,000 for the fourth quarter of 2025.</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Noninterest income increased $2.0 million to $4.3 million for the first quarter of 2026 from $2.3 million for the same quarter in the prior year. The increase in noninterest income primarily relates to the gain on OREO, recoveries of fully charged-off acquired loans, and interest income on the tax refunds discussed above. In addition, gain on sale of loans for the first quarter of 2026 increased $243,000 to $324,000 from $81,000 for the same quarter in the prior year. The first quarter of 2025 included losses on sales of nonperforming loans.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information on loans sold and the related net gain (loss) on the sale of such loans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Loans sold:</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8"/>
              </w:rPr>
              <w:t>(dollars in 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Single-family residential mortgage </w:t>
            </w:r>
            <w:r>
              <w:rPr>
                <w:rFonts w:ascii="Times New Roman" w:cs="Times New Roman" w:eastAsia="Times New Roman" w:hAnsi="Times New Roman"/>
                <w:sz w:val="25"/>
                <w:szCs w:val="25"/>
                <w:color w:val="auto"/>
                <w:vertAlign w:val="superscript"/>
              </w:rPr>
              <w:t>(1)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19,503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Gain (loss) on sale of loans: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Single-family residential mortgage </w:t>
            </w:r>
            <w:r>
              <w:rPr>
                <w:rFonts w:ascii="Times New Roman" w:cs="Times New Roman" w:eastAsia="Times New Roman" w:hAnsi="Times New Roman"/>
                <w:sz w:val="25"/>
                <w:szCs w:val="25"/>
                <w:color w:val="auto"/>
                <w:vertAlign w:val="superscript"/>
              </w:rPr>
              <w:t>(1)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jc w:val="both"/>
        <w:ind w:left="400" w:hanging="257"/>
        <w:spacing w:after="0" w:line="210" w:lineRule="auto"/>
        <w:tabs>
          <w:tab w:leader="none" w:pos="40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SFR mortgage loans sold with servicing rights retained were $3.3 million, $593,000, and $400,000 for the three months ended March 31, 2026, December 31, 2025, and March 31, 2025. The first quarter of 2025 also included a bulk sale of $10.8 million underperforming SFR mortgage loans resulting in charge-offs of $1.4 million, and no gain or loss on sale.</w:t>
      </w:r>
    </w:p>
    <w:p>
      <w:pPr>
        <w:spacing w:after="0" w:line="1" w:lineRule="exact"/>
        <w:rPr>
          <w:rFonts w:ascii="Times New Roman" w:cs="Times New Roman" w:eastAsia="Times New Roman" w:hAnsi="Times New Roman"/>
          <w:sz w:val="29"/>
          <w:szCs w:val="29"/>
          <w:color w:val="auto"/>
          <w:vertAlign w:val="superscript"/>
        </w:rPr>
      </w:pPr>
    </w:p>
    <w:p>
      <w:pPr>
        <w:ind w:left="400" w:hanging="257"/>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loans sold in the three months ended March 31, 2025, represented nonperforming loans HFS at December 31, 2024.</w:t>
      </w:r>
    </w:p>
    <w:p>
      <w:pPr>
        <w:spacing w:after="0" w:line="2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information on loan servicing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 servicing income, net of amortization:</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09"/>
        </w:trPr>
        <w:tc>
          <w:tcPr>
            <w:tcW w:w="484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8"/>
              </w:rPr>
              <w:t>(dollars in thousands)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loans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loans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0" w:type="dxa"/>
            <w:vAlign w:val="bottom"/>
            <w:tcBorders>
              <w:lef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we were servicing SFR mortgage loans for other financial institutions, the Federal Home Loan Mortgage Corporation ("FHLMC"), the Federal National Mortgage Association ("FNMA"), and SBA loans. The following table presents loans serviced for others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serviced:</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8"/>
              </w:rPr>
              <w:t>(dollars in thousands)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788,514</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833,704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894,310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loans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94,725</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 loans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 loans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891,413</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935,506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1,000,662</w:t>
            </w:r>
          </w:p>
        </w:tc>
      </w:tr>
      <w:tr>
        <w:trPr>
          <w:trHeight w:val="44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tc>
        <w:tc>
          <w:tcPr>
            <w:tcW w:w="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The following table presents major components of our noninterest expense for the periods presented: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8"/>
              </w:rPr>
              <w:t>(dollars in thousands)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10,643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expenses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business promotion</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regulatory assessments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intangible amortization</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18,522</w:t>
            </w: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December 31, 2025</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Noninterest expense for the first quarter of 2026 was $19.3 million, an increase of $293,000 from $19.0 million for the fourth quarter of 2025. The increase in noninterest expense was due mainly to higher salaries and employee benefits of $528,000 attributed to higher payroll taxes, benefits, and pay increases, which are typically reflected in the first quarter of the year. The efficiency ratio was 55.41% for the first quarter of 2026, compared to 58.69% for the fourth quarter of 2025. The decrease in the efficiency ratio is attributed mostly to higher net revenues. The operating expense ratio (noninterest expense, annualized, divided by average assets) for the first quarter of 2026 was 1.86% compared to 1.80% for the fourth quarter of 2025. This increase was due to higher operating costs while average assets remained relatively unchanged.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Noninterest expense for the first quarter of 2026 was $19.3 million, an increase of $736,000 compared to $18.5 million for the first quarter of 2025. The increase was mainly due to an increase of $618,000 in salaries and employee benefits due to the impact of merit increases and higher incentives related to sustained production levels. The efficiency ratio was 55.41% for the first quarter of 2026 and 65.09% for the first quarter of 2025. The decrease in the efficiency ratio is attributed mostly to higher net revenues. The operating expense ratio for the first quarter of 2025 was 1.90% and the decrease to 1.86% for the first quarter of 2026 was due to average asset growth outpacing the relative growth in operating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recorded an income tax provision of $4.4 million, $2.6 million, and $900,000, reflecting an effective tax rate of 28.0%, 20.2%, and 28.2%, for the three months ended March 31, 2026, December 31, 2025, and March 31, 2025. The effective tax rate for the first quarter of 2026 is lower than the federal and state statutory tax rates due primarily to state tax planning strategies. The lower effective tax rate in the fourth quarter of 2025 compared to the first quarter of 2026 resulted from benefits from purchased Federal tax credits and other state tax benefits in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Assets. </w:t>
      </w:r>
      <w:r>
        <w:rPr>
          <w:rFonts w:ascii="Times New Roman" w:cs="Times New Roman" w:eastAsia="Times New Roman" w:hAnsi="Times New Roman"/>
          <w:sz w:val="18"/>
          <w:szCs w:val="18"/>
          <w:color w:val="auto"/>
        </w:rPr>
        <w:t>At March 31, 2026, total assets were $4.2 billion, a decrease of $14.0 million from total assets at December 31, 2025. The decrease included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$15.4 million decrease in cash and cash equivalents and a $10.5 million decrease in income tax receivable. These decreases were partially offset by increases in loans HFI of $10.9 million and securities AFS of $8.6 million.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and cash equivalents decreased $15.4 million, or 7.3%, to $196.9 million as of March 31, 2026,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$212.3 million at December 31, 2025. This decrease in cash and cash equivalents was comprised of $21.3 million used in net investing activities, including purchases of AFS securities of $54.9 million and a net increase in loans of $14.8 million, offset by maturities and repayment of AFS securities of $45.1 million and proceeds from loan and OREO sales of $5.4 million. Net cash used in financing activities was $13.5 million, consisting mainly of a net decrease in deposits of $10.5 million. Net cash provided by operating activities was $19.4 million, which consisted mainly of net income of $11.3 million and proceeds from loans held for sale of $6.4 million.</w:t>
      </w:r>
    </w:p>
    <w:p>
      <w:pPr>
        <w:spacing w:after="0" w:line="18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Securities</w:t>
      </w:r>
      <w:r>
        <w:rPr>
          <w:rFonts w:ascii="Times New Roman" w:cs="Times New Roman" w:eastAsia="Times New Roman" w:hAnsi="Times New Roman"/>
          <w:sz w:val="18"/>
          <w:szCs w:val="18"/>
          <w:color w:val="auto"/>
        </w:rPr>
        <w:t>. We manage our securities portfolio and cash to maintain adequate liquidity and to ensure the safety and preservation of invested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with a secondary focus on yield and returns. Specific goals of our investment portfolio include:</w:t>
      </w:r>
    </w:p>
    <w:p>
      <w:pPr>
        <w:spacing w:after="0" w:line="159" w:lineRule="exact"/>
        <w:rPr>
          <w:sz w:val="20"/>
          <w:szCs w:val="20"/>
          <w:color w:val="auto"/>
        </w:rPr>
      </w:pPr>
    </w:p>
    <w:p>
      <w:pPr>
        <w:ind w:left="500" w:hanging="102"/>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providing a ready source of balance sheet liquidity to ensure adequate availability of funds to meet fluctuations in loan demand, deposit balances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other changes in balance sheet volumes and composition;</w:t>
      </w:r>
    </w:p>
    <w:p>
      <w:pPr>
        <w:spacing w:after="0" w:line="1" w:lineRule="exact"/>
        <w:rPr>
          <w:sz w:val="20"/>
          <w:szCs w:val="20"/>
          <w:color w:val="auto"/>
        </w:rPr>
      </w:pPr>
    </w:p>
    <w:p>
      <w:pPr>
        <w:ind w:left="500" w:hanging="114"/>
        <w:spacing w:after="0"/>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serving as a means for diversification of our assets with respect to credit quality, maturity and other attributes; and</w:t>
      </w:r>
    </w:p>
    <w:p>
      <w:pPr>
        <w:spacing w:after="0" w:line="9" w:lineRule="exact"/>
        <w:rPr>
          <w:rFonts w:ascii="Times New Roman" w:cs="Times New Roman" w:eastAsia="Times New Roman" w:hAnsi="Times New Roman"/>
          <w:sz w:val="16"/>
          <w:szCs w:val="16"/>
          <w:color w:val="auto"/>
        </w:rPr>
      </w:pPr>
    </w:p>
    <w:p>
      <w:pPr>
        <w:ind w:left="500" w:hanging="114"/>
        <w:spacing w:after="0"/>
        <w:tabs>
          <w:tab w:leader="none" w:pos="5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serving as a tool for modifying our interest rate risk profile pursuant to our established policies.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investment portfolio is comprised primarily of U.S. government agency securities, corporate note securities, mortgage-backed securities backed by government-sponsored entities, and taxable and tax-exempt municipal securities.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investment policy is reviewed annually by our board of directors. Overall investment goals are established by our board of directors, Chief Executive Officer (“CEO”), Chief Financial Officer (“CFO”), and members of our Asset Liability Committee (“ALCO”) of our board of directors. Our board of directors has delegated the responsibility of monitoring our investment activities to our ALCO. Day-to-day activities pertaining to the securities portfolio are conducted under the supervision of our CEO and CFO. We actively monitor our investments on an ongoing basis to identify any material changes in the securities. We monitor our securities portfolio to ensure it has adequate credit support and consider the lowest credit rating for identification of potential credit impairment.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book value of each category of securities and the percentage each category represents of total of securities as of the dates indicated. The book value for debt securities classified as AFS is reflected at fair market value and the book value for securities classified as HTM is reflected at amortized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22,705</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SBA agency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21,180</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87,178</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residential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112,495</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commercial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100,777</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Corporate debt securities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28,429</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securities, available for sale, at fair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99.0</w:t>
            </w:r>
            <w:r>
              <w:rPr>
                <w:rFonts w:ascii="Times New Roman" w:cs="Times New Roman" w:eastAsia="Times New Roman" w:hAnsi="Times New Roman"/>
                <w:sz w:val="24"/>
                <w:szCs w:val="24"/>
                <w:color w:val="auto"/>
                <w:vertAlign w:val="subscript"/>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407,204</w:t>
            </w:r>
          </w:p>
        </w:tc>
        <w:tc>
          <w:tcPr>
            <w:tcW w:w="150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99.0</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Securities, held to maturity, at amortized cost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securities, held to maturity, at amortized cost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411,388</w:t>
            </w:r>
          </w:p>
        </w:tc>
        <w:tc>
          <w:tcPr>
            <w:tcW w:w="1500" w:type="dxa"/>
            <w:vAlign w:val="bottom"/>
            <w:gridSpan w:val="3"/>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660" w:hanging="328"/>
        <w:spacing w:after="0" w:line="180" w:lineRule="auto"/>
        <w:tabs>
          <w:tab w:leader="none" w:pos="66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Comprised of corporate note securities and financial institution subordinated debentures.</w:t>
      </w:r>
    </w:p>
    <w:p>
      <w:pPr>
        <w:spacing w:after="0" w:line="204" w:lineRule="exact"/>
        <w:rPr>
          <w:rFonts w:ascii="Times New Roman" w:cs="Times New Roman" w:eastAsia="Times New Roman" w:hAnsi="Times New Roman"/>
          <w:sz w:val="29"/>
          <w:szCs w:val="29"/>
          <w:color w:val="auto"/>
          <w:vertAlign w:val="superscript"/>
        </w:rPr>
      </w:pPr>
    </w:p>
    <w:p>
      <w:pPr>
        <w:ind w:left="55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3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tables below set forth investment debt securities AFS and HTM as of the dates indicated.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Available for sale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20,839</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20,404</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96,715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92,274</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4,988</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residential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120,104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111,332</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commercial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100,466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98,417</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29,718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29,718</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28,480</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12,559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9,337</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128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436,187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(21,369</w:t>
            </w:r>
            <w:r>
              <w:rPr>
                <w:rFonts w:ascii="Times New Roman" w:cs="Times New Roman" w:eastAsia="Times New Roman" w:hAnsi="Times New Roman"/>
                <w:sz w:val="24"/>
                <w:szCs w:val="24"/>
                <w:color w:val="auto"/>
                <w:vertAlign w:val="subscript"/>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415,789</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Held to maturity</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4,033</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(149</w:t>
            </w:r>
            <w:r>
              <w:rPr>
                <w:rFonts w:ascii="Times New Roman" w:cs="Times New Roman" w:eastAsia="Times New Roman" w:hAnsi="Times New Roman"/>
                <w:sz w:val="24"/>
                <w:szCs w:val="24"/>
                <w:color w:val="auto"/>
                <w:vertAlign w:val="subscript"/>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Available for sale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21,326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91,049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87,178</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120,475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112,495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 commercial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102,755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100,777</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30,165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28,429</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12,567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9,515</w:t>
            </w: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426,145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(20,717</w:t>
            </w:r>
            <w:r>
              <w:rPr>
                <w:rFonts w:ascii="Times New Roman" w:cs="Times New Roman" w:eastAsia="Times New Roman" w:hAnsi="Times New Roman"/>
                <w:sz w:val="24"/>
                <w:szCs w:val="24"/>
                <w:color w:val="auto"/>
                <w:vertAlign w:val="subscript"/>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407,204</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Held to maturity</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28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(81</w:t>
            </w:r>
            <w:r>
              <w:rPr>
                <w:rFonts w:ascii="Times New Roman" w:cs="Times New Roman" w:eastAsia="Times New Roman" w:hAnsi="Times New Roman"/>
                <w:sz w:val="24"/>
                <w:szCs w:val="24"/>
                <w:color w:val="auto"/>
                <w:vertAlign w:val="subscript"/>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weighted-average life of the total investment portfolio was 4.6 years at March 31, 2026, and 4.9 years at December 31, 2025. The weighted-average life is the average number of years that each dollar of unpaid principal due remains outstanding. Average life is computed as the weighted-average time to the receipt of all future cash flows, using as the weights the dollar amounts of the principal pay-downs.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table below summarizes the fair value of the securities portfolio and their weighted average yields by expected maturity as of March 31, 2026. Expected maturities may differ from contractual maturities if borrowers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More than One Year</w:t>
            </w:r>
          </w:p>
        </w:tc>
        <w:tc>
          <w:tcPr>
            <w:tcW w:w="80" w:type="dxa"/>
            <w:vAlign w:val="bottom"/>
          </w:tcPr>
          <w:p>
            <w:pPr>
              <w:spacing w:after="0"/>
              <w:rPr>
                <w:sz w:val="18"/>
                <w:szCs w:val="18"/>
                <w:color w:val="auto"/>
              </w:rPr>
            </w:pPr>
          </w:p>
        </w:tc>
        <w:tc>
          <w:tcPr>
            <w:tcW w:w="17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More than Five</w:t>
            </w:r>
          </w:p>
        </w:tc>
        <w:tc>
          <w:tcPr>
            <w:tcW w:w="100" w:type="dxa"/>
            <w:vAlign w:val="bottom"/>
          </w:tcPr>
          <w:p>
            <w:pPr>
              <w:spacing w:after="0"/>
              <w:rPr>
                <w:sz w:val="18"/>
                <w:szCs w:val="18"/>
                <w:color w:val="auto"/>
              </w:rPr>
            </w:pPr>
          </w:p>
        </w:tc>
        <w:tc>
          <w:tcPr>
            <w:tcW w:w="172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More than Ten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One Year or Less</w:t>
            </w:r>
          </w:p>
        </w:tc>
        <w:tc>
          <w:tcPr>
            <w:tcW w:w="100" w:type="dxa"/>
            <w:vAlign w:val="bottom"/>
          </w:tcPr>
          <w:p>
            <w:pPr>
              <w:spacing w:after="0"/>
              <w:rPr>
                <w:sz w:val="20"/>
                <w:szCs w:val="20"/>
                <w:color w:val="auto"/>
              </w:rPr>
            </w:pPr>
          </w:p>
        </w:tc>
        <w:tc>
          <w:tcPr>
            <w:tcW w:w="17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 Five Years</w:t>
            </w:r>
          </w:p>
        </w:tc>
        <w:tc>
          <w:tcPr>
            <w:tcW w:w="80" w:type="dxa"/>
            <w:vAlign w:val="bottom"/>
          </w:tcPr>
          <w:p>
            <w:pPr>
              <w:spacing w:after="0"/>
              <w:rPr>
                <w:sz w:val="20"/>
                <w:szCs w:val="20"/>
                <w:color w:val="auto"/>
              </w:rPr>
            </w:pPr>
          </w:p>
        </w:tc>
        <w:tc>
          <w:tcPr>
            <w:tcW w:w="17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4"/>
              </w:rPr>
              <w:t>Years to Ten Years</w:t>
            </w:r>
          </w:p>
        </w:tc>
        <w:tc>
          <w:tcPr>
            <w:tcW w:w="100" w:type="dxa"/>
            <w:vAlign w:val="bottom"/>
          </w:tcPr>
          <w:p>
            <w:pPr>
              <w:spacing w:after="0"/>
              <w:rPr>
                <w:sz w:val="20"/>
                <w:szCs w:val="20"/>
                <w:color w:val="auto"/>
              </w:rPr>
            </w:pPr>
          </w:p>
        </w:tc>
        <w:tc>
          <w:tcPr>
            <w:tcW w:w="17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6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20" w:type="dxa"/>
            <w:vAlign w:val="bottom"/>
            <w:tcBorders>
              <w:top w:val="single" w:sz="8" w:color="auto"/>
            </w:tcBorders>
            <w:gridSpan w:val="3"/>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7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820" w:type="dxa"/>
            <w:vAlign w:val="bottom"/>
            <w:tcBorders>
              <w:top w:val="single" w:sz="8" w:color="auto"/>
            </w:tcBorders>
            <w:gridSpan w:val="3"/>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7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0"/>
                <w:szCs w:val="20"/>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80" w:type="dxa"/>
            <w:vAlign w:val="bottom"/>
          </w:tcPr>
          <w:p>
            <w:pPr>
              <w:spacing w:after="0"/>
              <w:rPr>
                <w:sz w:val="20"/>
                <w:szCs w:val="20"/>
                <w:color w:val="auto"/>
              </w:rPr>
            </w:pPr>
          </w:p>
        </w:tc>
        <w:tc>
          <w:tcPr>
            <w:tcW w:w="7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09"/>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79"/>
              </w:rPr>
              <w:t>in</w:t>
            </w: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87"/>
              </w:rPr>
              <w:t>thousands)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Government agency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11,110</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9,729</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20,839</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SBA agency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6,362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14,042</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20,404</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Mortgage-backed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residential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40,883</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51,391</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92,274</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Mortgage-backed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4,988</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residential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14,780</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71,205</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25,347</w:t>
            </w:r>
          </w:p>
        </w:tc>
        <w:tc>
          <w:tcPr>
            <w:tcW w:w="10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111,332</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commercial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5,981</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50,784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41,652</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98,417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29,718</w:t>
            </w:r>
          </w:p>
        </w:tc>
        <w:tc>
          <w:tcPr>
            <w:tcW w:w="10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29,718</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1,999</w:t>
            </w:r>
          </w:p>
        </w:tc>
        <w:tc>
          <w:tcPr>
            <w:tcW w:w="1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8,956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15,661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28,480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198"/>
        </w:trPr>
        <w:tc>
          <w:tcPr>
            <w:tcW w:w="1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Municipal tax-exempt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889</w:t>
            </w:r>
          </w:p>
        </w:tc>
        <w:tc>
          <w:tcPr>
            <w:tcW w:w="100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8,448</w:t>
            </w:r>
          </w:p>
        </w:tc>
        <w:tc>
          <w:tcPr>
            <w:tcW w:w="108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9,337</w:t>
            </w:r>
          </w:p>
        </w:tc>
        <w:tc>
          <w:tcPr>
            <w:tcW w:w="9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1"/>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000" w:type="dxa"/>
            <w:vAlign w:val="bottom"/>
            <w:tcBorders>
              <w:right w:val="single" w:sz="8" w:color="CCEEFF"/>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8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80" w:type="dxa"/>
            <w:vAlign w:val="bottom"/>
          </w:tcPr>
          <w:p>
            <w:pPr>
              <w:ind w:left="820"/>
              <w:spacing w:after="0" w:line="191" w:lineRule="exact"/>
              <w:rPr>
                <w:sz w:val="20"/>
                <w:szCs w:val="20"/>
                <w:color w:val="auto"/>
              </w:rPr>
            </w:pPr>
            <w:r>
              <w:rPr>
                <w:rFonts w:ascii="Times New Roman" w:cs="Times New Roman" w:eastAsia="Times New Roman" w:hAnsi="Times New Roman"/>
                <w:sz w:val="18"/>
                <w:szCs w:val="18"/>
                <w:color w:val="auto"/>
              </w:rPr>
              <w:t>Total available</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52,478</w:t>
            </w:r>
          </w:p>
        </w:tc>
        <w:tc>
          <w:tcPr>
            <w:tcW w:w="1080" w:type="dxa"/>
            <w:vAlign w:val="bottom"/>
            <w:gridSpan w:val="4"/>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4.38</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w w:val="99"/>
              </w:rPr>
              <w:t>194,288</w:t>
            </w:r>
          </w:p>
        </w:tc>
        <w:tc>
          <w:tcPr>
            <w:tcW w:w="100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4.14</w:t>
            </w:r>
            <w:r>
              <w:rPr>
                <w:rFonts w:ascii="Times New Roman" w:cs="Times New Roman" w:eastAsia="Times New Roman" w:hAnsi="Times New Roman"/>
                <w:sz w:val="35"/>
                <w:szCs w:val="35"/>
                <w:color w:val="auto"/>
                <w:vertAlign w:val="subscript"/>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158,711</w:t>
            </w:r>
          </w:p>
        </w:tc>
        <w:tc>
          <w:tcPr>
            <w:tcW w:w="1000" w:type="dxa"/>
            <w:vAlign w:val="bottom"/>
            <w:gridSpan w:val="3"/>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3.46</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10,312</w:t>
            </w:r>
          </w:p>
        </w:tc>
        <w:tc>
          <w:tcPr>
            <w:tcW w:w="1080" w:type="dxa"/>
            <w:vAlign w:val="bottom"/>
            <w:gridSpan w:val="4"/>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2.25</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w w:val="99"/>
              </w:rPr>
              <w:t>415,789</w:t>
            </w:r>
          </w:p>
        </w:tc>
        <w:tc>
          <w:tcPr>
            <w:tcW w:w="900" w:type="dxa"/>
            <w:vAlign w:val="bottom"/>
            <w:gridSpan w:val="3"/>
            <w:vMerge w:val="restart"/>
          </w:tcPr>
          <w:p>
            <w:pPr>
              <w:jc w:val="right"/>
              <w:ind w:right="20"/>
              <w:spacing w:after="0" w:line="385" w:lineRule="exact"/>
              <w:rPr>
                <w:sz w:val="20"/>
                <w:szCs w:val="20"/>
                <w:color w:val="auto"/>
              </w:rPr>
            </w:pPr>
            <w:r>
              <w:rPr>
                <w:rFonts w:ascii="Times New Roman" w:cs="Times New Roman" w:eastAsia="Times New Roman" w:hAnsi="Times New Roman"/>
                <w:sz w:val="18"/>
                <w:szCs w:val="18"/>
                <w:color w:val="auto"/>
              </w:rPr>
              <w:t>3.82</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194"/>
        </w:trPr>
        <w:tc>
          <w:tcPr>
            <w:tcW w:w="198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rPr>
              <w:t>for sale</w:t>
            </w:r>
          </w:p>
        </w:tc>
        <w:tc>
          <w:tcPr>
            <w:tcW w:w="20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Municipal tax-exempt</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2,744</w:t>
            </w:r>
          </w:p>
        </w:tc>
        <w:tc>
          <w:tcPr>
            <w:tcW w:w="10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4,033</w:t>
            </w: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gridSpan w:val="2"/>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980" w:type="dxa"/>
            <w:vAlign w:val="bottom"/>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Total held to</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spacing w:after="0" w:line="38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1,289</w:t>
            </w:r>
          </w:p>
        </w:tc>
        <w:tc>
          <w:tcPr>
            <w:tcW w:w="1000" w:type="dxa"/>
            <w:vAlign w:val="bottom"/>
            <w:tcBorders>
              <w:right w:val="single" w:sz="8" w:color="CCEEFF"/>
            </w:tcBorders>
            <w:gridSpan w:val="2"/>
            <w:vMerge w:val="restart"/>
            <w:shd w:val="clear" w:color="auto" w:fill="CCEEFF"/>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3.66</w:t>
            </w:r>
            <w:r>
              <w:rPr>
                <w:rFonts w:ascii="Times New Roman" w:cs="Times New Roman" w:eastAsia="Times New Roman" w:hAnsi="Times New Roman"/>
                <w:sz w:val="35"/>
                <w:szCs w:val="35"/>
                <w:color w:val="auto"/>
                <w:vertAlign w:val="subscript"/>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2,744</w:t>
            </w:r>
          </w:p>
        </w:tc>
        <w:tc>
          <w:tcPr>
            <w:tcW w:w="1100" w:type="dxa"/>
            <w:vAlign w:val="bottom"/>
            <w:gridSpan w:val="4"/>
            <w:vMerge w:val="restart"/>
            <w:shd w:val="clear" w:color="auto" w:fill="CCEEFF"/>
          </w:tcPr>
          <w:p>
            <w:pPr>
              <w:jc w:val="right"/>
              <w:spacing w:after="0" w:line="385" w:lineRule="exact"/>
              <w:rPr>
                <w:sz w:val="20"/>
                <w:szCs w:val="20"/>
                <w:color w:val="auto"/>
              </w:rPr>
            </w:pPr>
            <w:r>
              <w:rPr>
                <w:rFonts w:ascii="Times New Roman" w:cs="Times New Roman" w:eastAsia="Times New Roman" w:hAnsi="Times New Roman"/>
                <w:sz w:val="18"/>
                <w:szCs w:val="18"/>
                <w:color w:val="auto"/>
              </w:rPr>
              <w:t>3.47</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3"/>
            <w:vMerge w:val="restart"/>
            <w:shd w:val="clear" w:color="auto" w:fill="CCEEFF"/>
          </w:tcPr>
          <w:p>
            <w:pPr>
              <w:jc w:val="right"/>
              <w:spacing w:after="0" w:line="385"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4,033</w:t>
            </w:r>
          </w:p>
        </w:tc>
        <w:tc>
          <w:tcPr>
            <w:tcW w:w="900" w:type="dxa"/>
            <w:vAlign w:val="bottom"/>
            <w:gridSpan w:val="3"/>
            <w:vMerge w:val="restart"/>
            <w:shd w:val="clear" w:color="auto" w:fill="CCEEFF"/>
          </w:tcPr>
          <w:p>
            <w:pPr>
              <w:jc w:val="right"/>
              <w:ind w:right="20"/>
              <w:spacing w:after="0" w:line="385" w:lineRule="exact"/>
              <w:rPr>
                <w:sz w:val="20"/>
                <w:szCs w:val="20"/>
                <w:color w:val="auto"/>
              </w:rPr>
            </w:pPr>
            <w:r>
              <w:rPr>
                <w:rFonts w:ascii="Times New Roman" w:cs="Times New Roman" w:eastAsia="Times New Roman" w:hAnsi="Times New Roman"/>
                <w:sz w:val="18"/>
                <w:szCs w:val="18"/>
                <w:color w:val="auto"/>
              </w:rPr>
              <w:t>3.53</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maturity</w:t>
            </w:r>
          </w:p>
        </w:tc>
        <w:tc>
          <w:tcPr>
            <w:tcW w:w="200" w:type="dxa"/>
            <w:vAlign w:val="bottom"/>
            <w:gridSpan w:val="2"/>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100" w:type="dxa"/>
            <w:vAlign w:val="bottom"/>
            <w:gridSpan w:val="4"/>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table below shows our investment securities’ gross unrealized losses and estimated fair value by investment category and length of time that individual securities have been in a continuous unrealized loss position at March 31, 2026 and December 31, 2025. The unrealized losses on these securities were primarily attributed to changes in interest rates. There was no ACL on the AFS or HTM securities portfolios as of March 31, 2026 or December 31, 2025. We monitor our securities portfolio to ensure that all our investments have adequate credit support and we consider the lowest credit rating for identification of potential impairment. The issuers of these securities have not, to our knowledge, evidenced any cause for default on these securities. As of March 31, 2026, all of our investment securities in an unrealized loss position received an investment grade credit rating. These securities have fluctuated in value since their purchase dates as market rates have also fluctuated. However, we have the ability and the intention to hold these securities until their fair values recover to cost or until their respective maturity dates. As such, management does not deem these securities to be impaired under the current expected credit loss model. A summary of our analysis of these securities and the unrealized losses is described more fully in "</w:t>
      </w:r>
      <w:r>
        <w:rPr>
          <w:rFonts w:ascii="Times New Roman" w:cs="Times New Roman" w:eastAsia="Times New Roman" w:hAnsi="Times New Roman"/>
          <w:sz w:val="18"/>
          <w:szCs w:val="18"/>
          <w:i w:val="1"/>
          <w:iCs w:val="1"/>
          <w:color w:val="auto"/>
        </w:rPr>
        <w:t>Note 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of our audited consolidated financial statements included in our 2025 Annual Report. Economic trends may adversely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portfolio of investment securities that we hold.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40" w:type="dxa"/>
            <w:vAlign w:val="bottom"/>
          </w:tcPr>
          <w:p>
            <w:pPr>
              <w:spacing w:after="0"/>
              <w:rPr>
                <w:sz w:val="20"/>
                <w:szCs w:val="20"/>
                <w:color w:val="auto"/>
              </w:rPr>
            </w:pPr>
          </w:p>
        </w:tc>
        <w:tc>
          <w:tcPr>
            <w:tcW w:w="25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or More</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3"/>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3"/>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41,205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26,647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21,221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50,346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71,567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(9,158)</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18,181</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65,857</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102,622</w:t>
            </w:r>
          </w:p>
        </w:tc>
        <w:tc>
          <w:tcPr>
            <w:tcW w:w="26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(529</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163,237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(20,840</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265,859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(21,369</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held to maturity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(30</w:t>
            </w:r>
            <w:r>
              <w:rPr>
                <w:rFonts w:ascii="Times New Roman" w:cs="Times New Roman" w:eastAsia="Times New Roman" w:hAnsi="Times New Roman"/>
                <w:sz w:val="24"/>
                <w:szCs w:val="24"/>
                <w:color w:val="auto"/>
                <w:vertAlign w:val="sub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(119</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(149</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Less than Twelve Months</w:t>
            </w:r>
          </w:p>
        </w:tc>
        <w:tc>
          <w:tcPr>
            <w:tcW w:w="140" w:type="dxa"/>
            <w:vAlign w:val="bottom"/>
          </w:tcPr>
          <w:p>
            <w:pPr>
              <w:spacing w:after="0"/>
              <w:rPr>
                <w:sz w:val="24"/>
                <w:szCs w:val="24"/>
                <w:color w:val="auto"/>
              </w:rPr>
            </w:pPr>
          </w:p>
        </w:tc>
        <w:tc>
          <w:tcPr>
            <w:tcW w:w="25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Twelve Months or More</w:t>
            </w:r>
          </w:p>
        </w:tc>
        <w:tc>
          <w:tcPr>
            <w:tcW w:w="1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3"/>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3"/>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SBA agency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14,196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 commercial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53,195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56,325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(8,740)</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49,366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63,313</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 for 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4"/>
                <w:szCs w:val="14"/>
                <w:color w:val="auto"/>
              </w:rPr>
              <w:t>(255</w:t>
            </w:r>
            <w:r>
              <w:rPr>
                <w:rFonts w:ascii="Times New Roman" w:cs="Times New Roman" w:eastAsia="Times New Roman" w:hAnsi="Times New Roman"/>
                <w:sz w:val="24"/>
                <w:szCs w:val="24"/>
                <w:color w:val="auto"/>
                <w:vertAlign w:val="sub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(20,462</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(20,717</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tax-exempt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held to maturity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(81</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(81</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loan portfolio is the largest category of our earning assets. Loans HFI increased $10.9 million, or 1.3% on an annualized basis, to $3.3 billion at March 31, 2026, since December 31, 2025. The increase was primarily due to increases in SFR mortgage loans of $27.4 million, commercial and industrial ("C&amp;I") loans of $12.9 million, and construction and land development ("C&amp;D") loans of $3.8 million, partially offset by decreases in CRE loans of $28.9 million and SBA loans of $3.7 million. SFR mortgage loans represented 50.6% of our total HFI loans as of March 31, 2026, and 50.0% at December 31, 2025. There were no loans HFS at March 31, 2026, compared to $2.1 million loans HFS at December 31, 2025. The decrease in loans HFS was due to sales totaling $8.9 million, offset by loans originated or transferred into HFS of $6.8 million.</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 and associated percentage of each major category in our loan portfolio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40" w:type="dxa"/>
            <w:vAlign w:val="bottom"/>
          </w:tcPr>
          <w:p>
            <w:pPr>
              <w:spacing w:after="0"/>
              <w:rPr>
                <w:sz w:val="20"/>
                <w:szCs w:val="20"/>
                <w:color w:val="auto"/>
              </w:rPr>
            </w:pPr>
          </w:p>
        </w:tc>
        <w:tc>
          <w:tcPr>
            <w:tcW w:w="26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209"/>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Loans HFI:</w:t>
            </w:r>
            <w:r>
              <w:rPr>
                <w:rFonts w:ascii="Times New Roman" w:cs="Times New Roman" w:eastAsia="Times New Roman" w:hAnsi="Times New Roman"/>
                <w:sz w:val="29"/>
                <w:szCs w:val="29"/>
                <w:b w:val="1"/>
                <w:bCs w:val="1"/>
                <w:color w:val="auto"/>
                <w:vertAlign w:val="superscript"/>
              </w:rPr>
              <w:t>(1)</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79"/>
              </w:rPr>
              <w:t>in</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w:t>
            </w:r>
          </w:p>
        </w:tc>
        <w:tc>
          <w:tcPr>
            <w:tcW w:w="260" w:type="dxa"/>
            <w:vAlign w:val="bottom"/>
            <w:vMerge w:val="continue"/>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1,682,728</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1,655,382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Commercial real estate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1,274,105</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1,303,019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159,292</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155,464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152,911</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140,061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52,279</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55,978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loans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 HFI</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3,325,232</w:t>
            </w:r>
          </w:p>
        </w:tc>
        <w:tc>
          <w:tcPr>
            <w:tcW w:w="2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3,314,301</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546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Allowance for loan losses</w:t>
            </w:r>
          </w:p>
        </w:tc>
        <w:tc>
          <w:tcPr>
            <w:tcW w:w="3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(43,666)</w:t>
            </w:r>
          </w:p>
        </w:tc>
        <w:tc>
          <w:tcPr>
            <w:tcW w:w="12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(43,888)</w:t>
            </w: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loans HFI, net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3,281,566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3,270,413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120" w:type="dxa"/>
            <w:vAlign w:val="bottom"/>
            <w:tcBorders>
              <w:bottom w:val="single" w:sz="8" w:color="auto"/>
            </w:tcBorders>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discounts and deferred fees and costs.</w:t>
      </w:r>
    </w:p>
    <w:p>
      <w:pPr>
        <w:spacing w:after="0" w:line="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non-farm and non-residential real estate loans, multifamily residential loans, and non-owner occupied single-family residential loans.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geographic locations of loans in our loan portfolio, by loan class, as of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9"/>
              </w:rPr>
              <w:t>As of March 31, 2026</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Single-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family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and land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mortgages</w:t>
            </w:r>
          </w:p>
        </w:tc>
        <w:tc>
          <w:tcPr>
            <w:tcW w:w="200" w:type="dxa"/>
            <w:vAlign w:val="bottom"/>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SBA</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0"/>
                <w:szCs w:val="20"/>
                <w:color w:val="auto"/>
              </w:rPr>
            </w:pPr>
          </w:p>
        </w:tc>
        <w:tc>
          <w:tcPr>
            <w:tcW w:w="21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Total loans HFI</w:t>
            </w:r>
          </w:p>
        </w:tc>
        <w:tc>
          <w:tcPr>
            <w:tcW w:w="0" w:type="dxa"/>
            <w:vAlign w:val="bottom"/>
          </w:tcPr>
          <w:p>
            <w:pPr>
              <w:spacing w:after="0"/>
              <w:rPr>
                <w:sz w:val="1"/>
                <w:szCs w:val="1"/>
                <w:color w:val="auto"/>
              </w:rPr>
            </w:pPr>
          </w:p>
        </w:tc>
      </w:tr>
      <w:tr>
        <w:trPr>
          <w:trHeight w:val="210"/>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Loans HFI:</w:t>
            </w: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200" w:type="dxa"/>
            <w:vAlign w:val="bottom"/>
            <w:gridSpan w:val="2"/>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754,474</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921,845</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133,583</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$ 1,951,013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981,350</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63,077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Nevada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59,119</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Jersey</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51,298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Hawaii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8,701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3,274</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204,853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loans, net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$ 1,682,728</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1,274,105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159,292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152,911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$ 3,325,232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loan portfolio is based on collateral or businesses located in California and New York, which represented 88.2% of our loan portfolio. Loans secured by collateral in other states represented approximately 11.8% of our portfolio and the majority of these loans are secured by real estate with a weighted average LTV of 55.1% at March 31, 2026.</w:t>
      </w:r>
    </w:p>
    <w:p>
      <w:pPr>
        <w:spacing w:after="0" w:line="17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SFR loans</w:t>
      </w:r>
      <w:r>
        <w:rPr>
          <w:rFonts w:ascii="Times New Roman" w:cs="Times New Roman" w:eastAsia="Times New Roman" w:hAnsi="Times New Roman"/>
          <w:sz w:val="18"/>
          <w:szCs w:val="18"/>
          <w:color w:val="auto"/>
        </w:rPr>
        <w:t>. SFR loans totaled $1.7 billion, or 50.6% of our loans HFI portfolio, as of March 31, 2026. SFR loans increased $27.4 million, or 6.7%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annualized, during the first quarter of 2026 due to higher originations relative to payoffs, paydowns, and sales. As of March 31, 2026, the weighted-average LTV of the portfolio was 54%, the weighted average FICO score was 764, and the average age was 3.5 years.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originate qualified SFR mortgage loans and non-qualified, alternative documentation SFR mortgage loans through wholesale channels and retail channels, including our branch network, to accommodate the needs of the Asian-centric market. The qualified SFR mortgage loans are 15-year and 30-year conforming mortgages and may be sold directly to FNMA and FHLMC. We originate non-qualified SFR mortgage loans both to sell and hold for investment.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SFR mortgage loans sold to FNMA, FHLMC, and to other third parties such as investment funds or other banks, we provide limited representations and warranties and with a repurchase and premium refund for loans that become delinquent in the first 90-days or a premium refund if paid-off in the first 90-days with respect to all loans sold. In certain loan sales to other banks, loans are sold with no representations or warranties and provide a replacement feature for the first six months if any loans pay off early. As a condition of the sale for all loans, the buyer must have the loans audited for underwriting and compliance standards. There were no SFR loans HFS at March 31, 2026, and $2.1 million of SFR loans HFS at December 31, 2025.</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LTV ratios at origination for SFR loans by state as of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LTV Distribution</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&lt;45%</w:t>
            </w:r>
          </w:p>
        </w:tc>
        <w:tc>
          <w:tcPr>
            <w:tcW w:w="240" w:type="dxa"/>
            <w:vAlign w:val="bottom"/>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45%≤54%</w:t>
            </w:r>
          </w:p>
        </w:tc>
        <w:tc>
          <w:tcPr>
            <w:tcW w:w="240" w:type="dxa"/>
            <w:vAlign w:val="bottom"/>
          </w:tcPr>
          <w:p>
            <w:pPr>
              <w:spacing w:after="0"/>
              <w:rPr>
                <w:sz w:val="18"/>
                <w:szCs w:val="18"/>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55%≤64%</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65%≤74%</w:t>
            </w:r>
          </w:p>
        </w:tc>
        <w:tc>
          <w:tcPr>
            <w:tcW w:w="2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75%≤84%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&gt;85%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181,555</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162,850</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282,994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124,438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760,047</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155,547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309,468</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132,802</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10,911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754,474</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10,971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52,926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11,574</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19,712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6,793</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19,481</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Hawaii</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2,278</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36,007</w:t>
            </w:r>
          </w:p>
        </w:tc>
      </w:tr>
      <w:tr>
        <w:trPr>
          <w:trHeight w:val="20"/>
        </w:trPr>
        <w:tc>
          <w:tcPr>
            <w:tcW w:w="3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361,009</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355,068</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651,023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287,264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1,682,728</w:t>
            </w: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528"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28"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Commercial real estate loans</w:t>
      </w:r>
      <w:r>
        <w:rPr>
          <w:rFonts w:ascii="Times New Roman" w:cs="Times New Roman" w:eastAsia="Times New Roman" w:hAnsi="Times New Roman"/>
          <w:sz w:val="18"/>
          <w:szCs w:val="18"/>
          <w:color w:val="auto"/>
        </w:rPr>
        <w:t>. CRE loans decreased $28.9 million, or 9.0% annualized, to $1.3 billion at March 31, 2026, compared to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billion at December 31, 2025. The decrease in the first quarter of 2026 was driven by above-average payoff activity more than offsetting new loan production.</w:t>
      </w:r>
    </w:p>
    <w:p>
      <w:pPr>
        <w:spacing w:after="0" w:line="3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CRE loans include owner occupied and non-owner occupied commercial real estate, multi-family residential and SFR loans originated for a business purpose. Except for the multi-family residential loan portfolio, the interest rate for the majority of these loans are based on the Prime rate and have a maturity of five years or less except for the SFR loans originated for a business purpose which may have a maturity of one year. The multi-family residential loans generally have interest rates based on the 5-year treasury, a 10-year maturity with a five year fixed-rate period followed by a five year floating-rate period, and have a declining prepayment penalty over the first five years.</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largest subset of CRE loans was the multi-family residential loan portfolio, which totaled $740.6 million as of March 31, 2026, and $745.3 million as of December 31, 2025.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LTV ratios at origination for CRE loans by property type as of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LTV Distribution</w:t>
            </w:r>
          </w:p>
        </w:tc>
        <w:tc>
          <w:tcPr>
            <w:tcW w:w="3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45%≤54%</w:t>
            </w:r>
          </w:p>
        </w:tc>
        <w:tc>
          <w:tcPr>
            <w:tcW w:w="240" w:type="dxa"/>
            <w:vAlign w:val="bottom"/>
          </w:tcPr>
          <w:p>
            <w:pPr>
              <w:spacing w:after="0"/>
              <w:rPr>
                <w:sz w:val="18"/>
                <w:szCs w:val="18"/>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55%≤64%</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65%≤74%</w:t>
            </w:r>
          </w:p>
        </w:tc>
        <w:tc>
          <w:tcPr>
            <w:tcW w:w="20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75%≤84%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&gt;85%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Non-owner occupied: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Apartments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33,197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56,176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134,071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60,611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294,260</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Home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68,842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113,523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59,241</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282,317</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Mixed Use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25,303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136,838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213,672</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Hotel/Motel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32,113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15,012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5,797</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80,598</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68,997</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Warehouse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9,706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49,976</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Controlled NY Multifamily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46,656</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SFR Rental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14,453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12,849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7,760</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43,758</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4,152</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31,150</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5,756</w:t>
            </w: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non-owner occupied</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233,167</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265,575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460,163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137,561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1,117,140</w:t>
            </w:r>
          </w:p>
        </w:tc>
      </w:tr>
      <w:tr>
        <w:trPr>
          <w:trHeight w:val="209"/>
        </w:trPr>
        <w:tc>
          <w:tcPr>
            <w:tcW w:w="3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Owner-occupied:</w:t>
            </w: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Warehouse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11,504</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59,110</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Hotel/Motel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30,206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21,069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58,243</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8,168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19,402</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Mixed Use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Gas Station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Controlled NY Multifamily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SFR Rental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1,077</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0"/>
        </w:trPr>
        <w:tc>
          <w:tcPr>
            <w:tcW w:w="30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owner-occupied</w:t>
            </w:r>
          </w:p>
        </w:tc>
        <w:tc>
          <w:tcPr>
            <w:tcW w:w="4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27,647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59,999</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17,140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156,965</w:t>
            </w:r>
          </w:p>
        </w:tc>
      </w:tr>
      <w:tr>
        <w:trPr>
          <w:trHeight w:val="20"/>
        </w:trPr>
        <w:tc>
          <w:tcPr>
            <w:tcW w:w="3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260,814</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325,574</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512,342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154,701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1,274,105</w:t>
            </w: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LTV ratios at origination for CRE loans by state as of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LTV Distribution</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&lt;45%</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45%≤54%</w:t>
            </w:r>
          </w:p>
        </w:tc>
        <w:tc>
          <w:tcPr>
            <w:tcW w:w="240" w:type="dxa"/>
            <w:vAlign w:val="bottom"/>
          </w:tcPr>
          <w:p>
            <w:pPr>
              <w:spacing w:after="0"/>
              <w:rPr>
                <w:sz w:val="20"/>
                <w:szCs w:val="20"/>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55%≤64%</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65%≤74%</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75%≤84%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&gt;85%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Non-owner occupied: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137,771</w:t>
            </w:r>
          </w:p>
        </w:tc>
        <w:tc>
          <w:tcPr>
            <w:tcW w:w="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182,535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374,075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98,473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795,826</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41,487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26,561</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146,091</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23,496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29,431</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7,374</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14,978</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56,990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38,506</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134,773</w:t>
            </w: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non-owner occupied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265,575</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460,163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137,561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1,117,140</w:t>
            </w:r>
          </w:p>
        </w:tc>
      </w:tr>
      <w:tr>
        <w:trPr>
          <w:trHeight w:val="209"/>
        </w:trPr>
        <w:tc>
          <w:tcPr>
            <w:tcW w:w="3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Owner-occupied:</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39,746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15,885</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126,019</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4,423</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15,443</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Nevada</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8,053</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8,053</w:t>
            </w: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owner-occupied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59,999</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17,140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156,965</w:t>
            </w:r>
          </w:p>
        </w:tc>
      </w:tr>
      <w:tr>
        <w:trPr>
          <w:trHeight w:val="20"/>
        </w:trPr>
        <w:tc>
          <w:tcPr>
            <w:tcW w:w="3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260,814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325,574</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512,342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154,701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1,274,105</w:t>
            </w:r>
          </w:p>
        </w:tc>
      </w:tr>
      <w:tr>
        <w:trPr>
          <w:trHeight w:val="20"/>
        </w:trPr>
        <w:tc>
          <w:tcPr>
            <w:tcW w:w="3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Construction and land development loans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C&amp;D loans totaled $159.3 million, or 4.8% of the loan portfolio, at March 31, 2026. Our C&amp;D loans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of commercial construction, residential construction, and land acquisition and development loans. C&amp;D loans increased $3.8 million, or 10.0% annualized, during the first three months of 2026 due to increases in commercial construction and land development loans, partially offset by a decrease in residential construction loans. Interest reserves are generally established on real estate construction loans. These loans are typically Prime rate based and have maturities of less than 18 months.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categories of our C&amp;D portfolio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40" w:type="dxa"/>
            <w:vAlign w:val="bottom"/>
          </w:tcPr>
          <w:p>
            <w:pPr>
              <w:spacing w:after="0"/>
              <w:rPr>
                <w:sz w:val="20"/>
                <w:szCs w:val="20"/>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Mix %</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Mix %</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w w:val="96"/>
              </w:rPr>
              <w:t>(dollars in</w:t>
            </w:r>
          </w:p>
        </w:tc>
        <w:tc>
          <w:tcPr>
            <w:tcW w:w="1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i w:val="1"/>
                <w:iCs w:val="1"/>
                <w:color w:val="auto"/>
                <w:w w:val="87"/>
              </w:rPr>
              <w:t>thousands)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103,963</w:t>
            </w:r>
          </w:p>
        </w:tc>
        <w:tc>
          <w:tcPr>
            <w:tcW w:w="1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100,035</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3,928</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51,238</w:t>
            </w:r>
          </w:p>
        </w:tc>
        <w:tc>
          <w:tcPr>
            <w:tcW w:w="12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51,825</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development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3,604</w:t>
            </w:r>
          </w:p>
        </w:tc>
        <w:tc>
          <w:tcPr>
            <w:tcW w:w="1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Total construction and land</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159,292</w:t>
            </w:r>
          </w:p>
        </w:tc>
        <w:tc>
          <w:tcPr>
            <w:tcW w:w="12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4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35"/>
                <w:szCs w:val="35"/>
                <w:color w:val="auto"/>
                <w:vertAlign w:val="subscript"/>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155,464</w:t>
            </w:r>
          </w:p>
        </w:tc>
        <w:tc>
          <w:tcPr>
            <w:tcW w:w="1600" w:type="dxa"/>
            <w:vAlign w:val="bottom"/>
            <w:gridSpan w:val="3"/>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100.0</w:t>
            </w:r>
            <w:r>
              <w:rPr>
                <w:rFonts w:ascii="Times New Roman" w:cs="Times New Roman" w:eastAsia="Times New Roman" w:hAnsi="Times New Roman"/>
                <w:sz w:val="35"/>
                <w:szCs w:val="35"/>
                <w:color w:val="auto"/>
                <w:vertAlign w:val="subscript"/>
              </w:rPr>
              <w:t>%</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3,828</w:t>
            </w:r>
          </w:p>
        </w:tc>
        <w:tc>
          <w:tcPr>
            <w:tcW w:w="1440" w:type="dxa"/>
            <w:vAlign w:val="bottom"/>
            <w:gridSpan w:val="2"/>
            <w:vMerge w:val="restart"/>
          </w:tcPr>
          <w:p>
            <w:pPr>
              <w:jc w:val="right"/>
              <w:ind w:right="60"/>
              <w:spacing w:after="0" w:line="385"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r>
        <w:trPr>
          <w:trHeight w:val="194"/>
        </w:trPr>
        <w:tc>
          <w:tcPr>
            <w:tcW w:w="254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development loans</w:t>
            </w:r>
          </w:p>
        </w:tc>
        <w:tc>
          <w:tcPr>
            <w:tcW w:w="3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Commercial and industrial loans</w:t>
      </w:r>
      <w:r>
        <w:rPr>
          <w:rFonts w:ascii="Times New Roman" w:cs="Times New Roman" w:eastAsia="Times New Roman" w:hAnsi="Times New Roman"/>
          <w:sz w:val="18"/>
          <w:szCs w:val="18"/>
          <w:color w:val="auto"/>
        </w:rPr>
        <w:t>. C&amp;I loans totaled $152.9 million, or 4.6% of the loan portfolio, as of March 31, 2026. C&amp;I loans increased $12.9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37.2% annualized, during the first three months of 2026 due in part to an increase of $15.2 million in commercial term loans and lines of credit, partially offset by a decrease of $2.3 million in mortgage warehouse lines of credit. Our SFR mortgage lending unit originates mortgage warehouse lines of credit to certain correspondent banks.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interest rates on C&amp;I loans are generally based on the Wall Street Journal Prime rate. We originate both variable rate and fixed rate C&amp;I loans. The loans are typically made to small- and medium-sized manufacturing, wholesale, retail and service businesses for working capital needs, business expansions and for international trade financing. C&amp;I loans include lines of credit with a maturity of one year or less, term loans with maturities of five years or less, shared national credits with maturities of five years or less, mortgage warehouse lines with a maturity of one year or less, bank subordinated debentures with a maturity of 10 years and international trade discounts with a maturity of three months or less. Substantially all of our C&amp;I loans are collateralized by business assets or by real estate.</w:t>
      </w:r>
    </w:p>
    <w:p>
      <w:pPr>
        <w:spacing w:after="0" w:line="18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SBA l</w:t>
      </w:r>
      <w:r>
        <w:rPr>
          <w:rFonts w:ascii="Times New Roman" w:cs="Times New Roman" w:eastAsia="Times New Roman" w:hAnsi="Times New Roman"/>
          <w:sz w:val="18"/>
          <w:szCs w:val="18"/>
          <w:b w:val="1"/>
          <w:bCs w:val="1"/>
          <w:color w:val="auto"/>
        </w:rPr>
        <w:t>oans</w:t>
      </w:r>
      <w:r>
        <w:rPr>
          <w:rFonts w:ascii="Times New Roman" w:cs="Times New Roman" w:eastAsia="Times New Roman" w:hAnsi="Times New Roman"/>
          <w:sz w:val="18"/>
          <w:szCs w:val="18"/>
          <w:color w:val="auto"/>
        </w:rPr>
        <w:t>. SBA loans decreased $3.7 million, or 6.6%, to $52.3 million at March 31, 2026, compared to $56.0 million at December 31, 2025.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originated SBA loans of $1.3 million and advanced an additional $292,000 on such loans during the first three months of 2026. Offsetting these loan originations and advances were loan sales of $4.0 million, refinances into non-SBA guaranteed loan types of $789,000, and net loan payoffs and paydowns of $513,000 during the first three months of 2026.</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designated a Preferred Lender under the SBA Preferred Lender Program. We offer SBA guaranteed loans and mainly originate the SBA 7(a) product, which are variable rate loans, through our loan offices and independent brokers. We generally sell the 75% guaranteed portion of the SBA loans that we originate. Our SBA loans are typically made to small-sized manufacturing, wholesale, retail, hotel/motel and service businesses for working capital needs or business expansions. SBA loans secured by real estate can have any maturity up to 25 years. Typically, non-real estate secured loans mature in less than 10 years. Collateral may also include inventory, accounts receivable, equipment, and includes personal guarantees.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Quality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what we believe is a comprehensive methodology to monitor credit quality and prudently manage credit concentration within our loan portfolio. Our underwriting policies and practices govern the risk profile and credit and geographic concentration for our loan portfolio. Our comprehensive methodology to monitor these credit quality standards includes a risk classification system that identifies potential problem loans based on risk characteristics by loan class as well as the early identification of deterioration at the individual loan level.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Allowance for Loan Losses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 its corresponding percentage of the loan class balance, and the percentage of loan balance to total loans HFI as of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187"/>
        </w:trPr>
        <w:tc>
          <w:tcPr>
            <w:tcW w:w="1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ALL as a %</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of Loan</w:t>
            </w:r>
          </w:p>
        </w:tc>
        <w:tc>
          <w:tcPr>
            <w:tcW w:w="138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as a %</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1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40" w:type="dxa"/>
            <w:vAlign w:val="bottom"/>
          </w:tcPr>
          <w:p>
            <w:pPr>
              <w:spacing w:after="0"/>
              <w:rPr>
                <w:sz w:val="20"/>
                <w:szCs w:val="20"/>
                <w:color w:val="auto"/>
              </w:rPr>
            </w:pPr>
          </w:p>
        </w:tc>
        <w:tc>
          <w:tcPr>
            <w:tcW w:w="11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300" w:type="dxa"/>
            <w:vAlign w:val="bottom"/>
          </w:tcPr>
          <w:p>
            <w:pPr>
              <w:spacing w:after="0"/>
              <w:rPr>
                <w:sz w:val="20"/>
                <w:szCs w:val="20"/>
                <w:color w:val="auto"/>
              </w:rPr>
            </w:pPr>
          </w:p>
        </w:tc>
        <w:tc>
          <w:tcPr>
            <w:tcW w:w="8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of Loan Type</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09"/>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6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21,988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21,585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6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Commercial real estate </w:t>
            </w:r>
            <w:r>
              <w:rPr>
                <w:rFonts w:ascii="Times New Roman" w:cs="Times New Roman" w:eastAsia="Times New Roman" w:hAnsi="Times New Roman"/>
                <w:sz w:val="25"/>
                <w:szCs w:val="25"/>
                <w:color w:val="auto"/>
                <w:vertAlign w:val="superscript"/>
              </w:rPr>
              <w:t>(1)</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17,639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18,162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1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6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43,666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43,888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34"/>
        </w:trPr>
        <w:tc>
          <w:tcPr>
            <w:tcW w:w="1120" w:type="dxa"/>
            <w:vAlign w:val="bottom"/>
            <w:tcBorders>
              <w:top w:val="single" w:sz="8" w:color="CCEEFF"/>
              <w:bottom w:val="single" w:sz="8" w:color="auto"/>
            </w:tcBorders>
          </w:tcPr>
          <w:p>
            <w:pPr>
              <w:spacing w:after="0"/>
              <w:rPr>
                <w:sz w:val="3"/>
                <w:szCs w:val="3"/>
                <w:color w:val="auto"/>
              </w:rPr>
            </w:pPr>
          </w:p>
        </w:tc>
        <w:tc>
          <w:tcPr>
            <w:tcW w:w="2240" w:type="dxa"/>
            <w:vAlign w:val="bottom"/>
            <w:tcBorders>
              <w:top w:val="single" w:sz="8" w:color="CCEEFF"/>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940" w:type="dxa"/>
            <w:vAlign w:val="bottom"/>
            <w:tcBorders>
              <w:top w:val="single" w:sz="8" w:color="CCEEFF"/>
            </w:tcBorders>
          </w:tcPr>
          <w:p>
            <w:pPr>
              <w:spacing w:after="0"/>
              <w:rPr>
                <w:sz w:val="3"/>
                <w:szCs w:val="3"/>
                <w:color w:val="auto"/>
              </w:rPr>
            </w:pPr>
          </w:p>
        </w:tc>
        <w:tc>
          <w:tcPr>
            <w:tcW w:w="280" w:type="dxa"/>
            <w:vAlign w:val="bottom"/>
            <w:tcBorders>
              <w:top w:val="single" w:sz="8" w:color="CCEEFF"/>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80" w:type="dxa"/>
            <w:vAlign w:val="bottom"/>
            <w:tcBorders>
              <w:top w:val="single" w:sz="8" w:color="CCEEFF"/>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1100" w:type="dxa"/>
            <w:vAlign w:val="bottom"/>
            <w:tcBorders>
              <w:top w:val="single" w:sz="8" w:color="CCEEFF"/>
            </w:tcBorders>
          </w:tcPr>
          <w:p>
            <w:pPr>
              <w:spacing w:after="0"/>
              <w:rPr>
                <w:sz w:val="3"/>
                <w:szCs w:val="3"/>
                <w:color w:val="auto"/>
              </w:rPr>
            </w:pPr>
          </w:p>
        </w:tc>
        <w:tc>
          <w:tcPr>
            <w:tcW w:w="280" w:type="dxa"/>
            <w:vAlign w:val="bottom"/>
            <w:tcBorders>
              <w:top w:val="single" w:sz="8" w:color="CCEEFF"/>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r>
    </w:tbl>
    <w:p>
      <w:pPr>
        <w:spacing w:after="0" w:line="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non-farm and non-residential real estate loans, multi-family residential loans and non-owner occupied SFR loans.</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 Loans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ACL includes the ALL and the reserve for unfunded commitments ("RUC") and is maintained at a level deemed appropriate by management to provide for expected credit losses in the portfolio as of the date of the consolidated balance sheets. Estimating expected credit losses requires management to use relevant forward looking information, including the use of reasonable and supportable forecasts. The measurement of the ACL for loans is performed by collectively evaluating loans with similar risk characteristics. We have elected to utilize a discounted cash flow approach for all segments except consumer loans and warehouse mortgage loans; for these a remaining life approach was elected.</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discounted cash flow loss rate methodology incorporates a probability of default, loss given default and exposure at default to derive expected loss within the CECL model, as well as expectations of future economic conditions, using reasonable and supportable forecasts. We use both internal and external data to determine qualitative factors within the CECL model including: lending policies, procedures, and strategies; changes in nature and volume of the portfolio; credit and lending personnel experience; changes in volume and trends in classified, delinquent, and nonaccrual loans; concentration risk; collateral values; regulatory and business environment; loan review results; and economic conditions.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estimates the allowance balance required using past loan loss experience from peers with similar asset sizes and geographic locations to the Company. The nature and volume of the portfolio, information about specific borrower situations, changes in credit quality and estimated collateral values, economic conditions, and other factors are also considered. Our CECL methodology utilizes a four-quarter reasonable and supportable forecast period, and a four-quarter reversion period. We use the Federal Open Market Committee forecasts for the national unemployment rate, while reverting to historical loss information.</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Individual loans considered to be uncollectible are charged off against the ACL. Factors used in determining the amount and timing of charge-offs on loans include consideration of the loan type, length of delinquency, sufficiency of collateral value, lien priority and the overall financial condition of the borrower. Loans deemed to be collateral-dependent are reviewed individually based on the estimated fair value of the collateral less estimated selling costs. Collateral value is determined using appraisals and/or other market comparable information. Charge-offs are generally taken on loans when the loan balance is determined to be uncollectible. Recoveries on loans previously charged off are added to the ACL. Net charge-offs on an annualized basis represented 0.00% of average loans for the three months ended March 31, 2026, and 0.35% of average loans for the three months ended March 31, 2025.</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31, 2026, the ACL totaled $44.2 million and was comprised of an ALL of $43.7 million and a RUC of $484,000. This compares to the ACL of $44.4 million comprised of an ALL of $43.9 million and a RUC of $484,000 at December 31, 2025. The $222,000 decrease in the ACL for the first three months of 2026 was due to a $200,000 reversal of provision for credit losses and net charge-offs of $22,000. The ALL as a percentage of loans HFI was 1.31% at March 31, 2026, compared to 1.32% at December 31, 2025, due mainly to the reversal of provision for credit losses and growth in the loan portfolio. The ALL as a percentage of nonperforming loans HFI was 97.98% at March 31, 2026, a decrease from 98.33% at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500"/>
        <w:spacing w:after="0"/>
        <w:rPr>
          <w:sz w:val="20"/>
          <w:szCs w:val="20"/>
          <w:color w:val="auto"/>
        </w:rPr>
      </w:pPr>
      <w:r>
        <w:rPr>
          <w:rFonts w:ascii="Times New Roman" w:cs="Times New Roman" w:eastAsia="Times New Roman" w:hAnsi="Times New Roman"/>
          <w:sz w:val="18"/>
          <w:szCs w:val="18"/>
          <w:color w:val="auto"/>
        </w:rPr>
        <w:t>The following table provides an analysis of the ACL, provision for credit losses and net charge-offs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342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09"/>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Allowance for Loan Loss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43,888</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47,729</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charge-offs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recoveries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provision for credit losses - loans</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2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51,932</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Reserve for unfunded commitments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provision for credit losses - unfunded commitments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8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allowance for credit losses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44,150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52,561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Total loans HFI at end of period</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3,325,232</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3,143,063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loans HFI</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3,295,587</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3,079,224</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to average loans HFI</w:t>
            </w:r>
          </w:p>
        </w:tc>
        <w:tc>
          <w:tcPr>
            <w:tcW w:w="3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 to total loans HFI</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Problem Loans. </w:t>
      </w: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accrual status between 30 days and 89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cases where a borrower experiences financial difficulties and we make certain concessionary modifications to contractual terms, the loan is classified as a modified loan. These concessions may include a reduction of the interest rate, principal or accrued interest, extension of the maturity date or other actions intended to minimize potential losses. Loans modified at a rate equal to or greater than that of a new loan with comparable risk at the time the loan is modified may be excluded from modified loan disclosures in years subsequent to the modification if the loans are in compliance with their modified terms.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Real estate acquired by foreclosure or deed in lieu of foreclosure is recorded at fair value at the date of foreclosure, establishing a new cost basis (carrying value) by a charge to the allowance for credit losses, if necessary, or a gain recognized through noninterest income, as appropriate. Once classified as an OREO, it is subsequently carried at the lower of our carrying value of the property or its fair value. Fair value is based on current appraisals less estimated selling costs. Any subsequent write-downs are charged against operating expenses and recognized as a valuation allowance. Operating expenses and related income of such properties are included in other operating income and expenses. Gains on transfer of loans to OREO, and gains or losses on their disposition are included in gain on OREO.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and still accruing interest (of which there were none during the periods presented). The balances of nonperforming loans included in the table below are the net investment in these assets and do not include specific reserves that are included in the ALL. The following table presents the net investment in nonperforming assets by loan class and certain nonperforming asset ratios as of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0" w:type="dxa"/>
            <w:vAlign w:val="bottom"/>
          </w:tcPr>
          <w:p>
            <w:pPr>
              <w:spacing w:after="0"/>
              <w:rPr>
                <w:sz w:val="1"/>
                <w:szCs w:val="1"/>
                <w:color w:val="auto"/>
              </w:rPr>
            </w:pPr>
          </w:p>
        </w:tc>
      </w:tr>
      <w:tr>
        <w:trPr>
          <w:trHeight w:val="238"/>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27,994</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nonaccrual loans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44,568</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44,568</w:t>
            </w:r>
          </w:p>
        </w:tc>
        <w:tc>
          <w:tcPr>
            <w:tcW w:w="100" w:type="dxa"/>
            <w:vAlign w:val="bottom"/>
          </w:tcPr>
          <w:p>
            <w:pPr>
              <w:spacing w:after="0"/>
              <w:rPr>
                <w:sz w:val="18"/>
                <w:szCs w:val="18"/>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44,632</w:t>
            </w: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OREO</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Nonperforming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48,836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53,462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Nonperforming loans HFI to total loans HFI</w:t>
            </w:r>
          </w:p>
        </w:tc>
        <w:tc>
          <w:tcPr>
            <w:tcW w:w="1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to tangible common equity and ALL</w:t>
            </w: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tangible common equity and ALL</w:t>
            </w:r>
          </w:p>
        </w:tc>
        <w:tc>
          <w:tcPr>
            <w:tcW w:w="16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Nonperforming assets totaled $48.8 million, or 1.16% of total assets, at March 31, 2026, down from $53.5 million, or 1.27% of total assets, at December 31, 2025. The $4.6 million decrease in nonperforming assets included a decrease of $4.6 million in OREO to $4.3 million at March 31, 2026, compared to $8.8 million at December 31, 2025. The decrease in OREO was primarily due to the sale of one property and a $350,000 valuation provision on a remaining OREO property. The sale resulted in a $1.2 million gain.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30-89 day delinquent loans, excluding nonperforming loans, totaled $7.9 million, or 0.24% of total loans, at March 31, 2026, down from $8.8 million, or 0.27% of total loans, at December 31, 2025. The $0.9 million decrease was mainly due to $3.4 million in loans returning to current status and $1.3 million in payoffs and paydowns, offset by $3.7 million in new delinquent loans.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did not recognize any interest income on nonaccrual loans during the three months ended March 31, 2026 and 2025, while the loans were in nonaccrual status.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utilize an asset risk classification system in compliance with guidelines established by the FDIC as part of our efforts to improve asset quality. In connection with examinations of insured institutions, examiners have the authority to identify problem assets and, if appropriate, classify them.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highly questionable and improbable based on facts, conditions and values that currently exist. An asset classified as loss is not considered collectable and is of such little value that continuance as an asset is not warranted.</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a risk grading system to categorize and determine the credit risk of our loans. Potential problem loans include loans with a risk grade of 6, which are “special mention,” loans with a risk grade of 7, which are “substandard” loans that are generally not considered to be impaired and loans with a risk grade of 8, which are “doubtful” loans generally considered to be impaired. These loans generally require more frequent loan officer contact and receipt of financial data to closely monitor borrower performance. Potential problem loans are managed and monitored regularly through a number of processes, procedures and committees, including oversight by a loan administration committee comprised of executive officers and other members of senior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700" w:type="dxa"/>
            <w:vAlign w:val="bottom"/>
            <w:gridSpan w:val="14"/>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risk categories for loans HFI, by segment and class, as of the dates indicated: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2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0"/>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1,681,209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1,682,728</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1,235,264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1,274,105</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128,199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159,292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152,911</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3,227,960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w:t>
            </w:r>
          </w:p>
        </w:tc>
        <w:tc>
          <w:tcPr>
            <w:tcW w:w="12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3,325,232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Special</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Mention</w:t>
            </w:r>
          </w:p>
        </w:tc>
        <w:tc>
          <w:tcPr>
            <w:tcW w:w="12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gridSpan w:val="7"/>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Single-family residential mortgages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1,652,759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1,655,382</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1,265,041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1,303,019</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155,464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140,061</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55,978</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4,397</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3,314,301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Special mention loans totaled $24.8 million, or 0.75% of total loans, at March 31, 2026, up from $19.2 million, or 0.58% of total loans, at December 31, 2025. The $5.5 million increase for the first quarter of 2026 was primarily due to downgrades to special mention of $5.8 million, partially offset by paydowns of $303,000. As of March 31, 2026, all special mention loans were paying current.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Substandard loans totaled $72.5 million at March 31, 2026, a decrease of $2.7 million from $75.2 million at December 31, 2025. The decrease in substandard loans during the first quarter of 2026 was primarily due to payoffs and paydowns totaling $3.0 million and upgrades to pass-rated loans of $1.1 million, partially offset by downgrades to substandard totaling $1.5 million. Of the total substandard loans outstanding at March 31, 2026, there were $27.9 million, or 39% of such loans, on accrual status.</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decreased by $21.6 million to $3.7 billion at March 31, 2026, compared to December 31, 2025, primarily due to a $10.5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decrease in deposits and a $10.8 million decrease in accrued interest and other liabilities.</w:t>
      </w:r>
    </w:p>
    <w:p>
      <w:pPr>
        <w:spacing w:after="0" w:line="39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were $3.3 billion as of March 31, 2026, a decrease of $10.5 million, or 1.3% annualized, compared to $3.4 billion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December 31, 2025. The decrease in total deposits during the first quarter of 2026 was due to a $61.9 million decrease in wholesale deposits, offset by a $51.4 million increase in retail deposits. The increase in retail deposits included a $219.4 million increase in non-maturity interest-bearing deposits and a $168.4 million decrease in time deposits as a portion of maturing time deposits moved into a high-yield savings product. Noninterest-bearing deposits totaled $526.9 million, or 15.8% of total deposits, at March 31, 2026, which is similar to the balances and percentage of total deposits at December 31,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36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composition of our deposit portfolio by account type as of the dates indicated: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23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526,882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526,538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72,063</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507,842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526,933</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592,601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357,303</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 $250,000 and under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740,429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790,225</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over $250,000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733,046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851,637</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Wholesale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163,792</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225,699</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59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2,813,002</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2,823,860</w:t>
            </w:r>
          </w:p>
        </w:tc>
        <w:tc>
          <w:tcPr>
            <w:tcW w:w="2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09"/>
        </w:trPr>
        <w:tc>
          <w:tcPr>
            <w:tcW w:w="5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3,339,884</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3,350,398</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average deposit balances and weighted average rates for the three months ended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09"/>
        </w:trPr>
        <w:tc>
          <w:tcPr>
            <w:tcW w:w="7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860" w:type="dxa"/>
            <w:vAlign w:val="bottom"/>
            <w:tcBorders>
              <w:top w:val="single" w:sz="8" w:color="auto"/>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8"/>
                <w:szCs w:val="18"/>
                <w:color w:val="auto"/>
              </w:rPr>
            </w:pPr>
          </w:p>
        </w:tc>
      </w:tr>
      <w:tr>
        <w:trPr>
          <w:trHeight w:val="187"/>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r>
      <w:tr>
        <w:trPr>
          <w:trHeight w:val="216"/>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7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w:t>
            </w:r>
          </w:p>
        </w:tc>
        <w:tc>
          <w:tcPr>
            <w:tcW w:w="160" w:type="dxa"/>
            <w:vAlign w:val="bottom"/>
          </w:tcPr>
          <w:p>
            <w:pPr>
              <w:spacing w:after="0"/>
              <w:rPr>
                <w:sz w:val="20"/>
                <w:szCs w:val="20"/>
                <w:color w:val="auto"/>
              </w:rPr>
            </w:pPr>
          </w:p>
        </w:tc>
      </w:tr>
      <w:tr>
        <w:trPr>
          <w:trHeight w:val="209"/>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526,151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73,637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529,013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Savings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441,123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 $250,000 and under</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926,226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over $250,000</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845,786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r>
      <w:tr>
        <w:trPr>
          <w:trHeight w:val="210"/>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2,815,785</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r>
      <w:tr>
        <w:trPr>
          <w:trHeight w:val="250"/>
        </w:trPr>
        <w:tc>
          <w:tcPr>
            <w:tcW w:w="7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3,341,936</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the maturity schedule of time deposits as of March 31, 2026: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Maturity Within:</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1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6"/>
                <w:szCs w:val="16"/>
                <w:color w:val="auto"/>
              </w:rPr>
            </w:pPr>
          </w:p>
        </w:tc>
        <w:tc>
          <w:tcPr>
            <w:tcW w:w="10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After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Months or</w:t>
            </w:r>
          </w:p>
        </w:tc>
        <w:tc>
          <w:tcPr>
            <w:tcW w:w="1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After Six to</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After 12</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12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1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Time deposits $250,000 and under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284,805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317,918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863,717</w:t>
            </w:r>
          </w:p>
        </w:tc>
      </w:tr>
      <w:tr>
        <w:trPr>
          <w:trHeight w:val="230"/>
        </w:trPr>
        <w:tc>
          <w:tcPr>
            <w:tcW w:w="46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 xml:space="preserve">Time deposits over $250,000 </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291,176</w:t>
            </w:r>
          </w:p>
        </w:tc>
        <w:tc>
          <w:tcPr>
            <w:tcW w:w="1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258,231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218,711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773,550</w:t>
            </w:r>
          </w:p>
        </w:tc>
      </w:tr>
      <w:tr>
        <w:trPr>
          <w:trHeight w:val="223"/>
        </w:trPr>
        <w:tc>
          <w:tcPr>
            <w:tcW w:w="4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time deposits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575,981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1120" w:type="dxa"/>
            <w:vAlign w:val="bottom"/>
            <w:tcBorders>
              <w:bottom w:val="single" w:sz="8" w:color="auto"/>
            </w:tcBorders>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3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wholesale deposits of $123.3 million.</w:t>
      </w:r>
    </w:p>
    <w:p>
      <w:pPr>
        <w:spacing w:after="0" w:line="3"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wholesale deposits of $40.5 million.</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Of the $773.6 million in time deposits over $250,000, the estimated aggregate amount of time deposits in excess of the FDIC insurance limit is $531.9 million at March 31, 2026. The following table presents the maturity distribution of uninsured time deposits in amounts of more than $250,000 as of the date indicated.</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3 months through 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Over 6 months through 12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986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p>
      <w:pPr>
        <w:spacing w:after="0" w:line="9" w:lineRule="exact"/>
        <w:rPr>
          <w:sz w:val="20"/>
          <w:szCs w:val="20"/>
          <w:color w:val="auto"/>
        </w:rPr>
      </w:pPr>
    </w:p>
    <w:p>
      <w:pPr>
        <w:ind w:left="860" w:hanging="853"/>
        <w:spacing w:after="0"/>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191,673</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164,237</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171,548</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4,431</w:t>
      </w:r>
    </w:p>
    <w:p>
      <w:pPr>
        <w:spacing w:after="0" w:line="9" w:lineRule="exact"/>
        <w:rPr>
          <w:sz w:val="20"/>
          <w:szCs w:val="20"/>
          <w:color w:val="auto"/>
        </w:rPr>
      </w:pPr>
    </w:p>
    <w:p>
      <w:pPr>
        <w:ind w:left="860" w:hanging="853"/>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9169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8960" w:space="720"/>
            <w:col w:w="1560"/>
          </w:cols>
          <w:pgMar w:left="320" w:top="108" w:right="339" w:bottom="0" w:gutter="0" w:footer="0" w:header="0"/>
          <w:type w:val="continuous"/>
        </w:sectPr>
      </w:pPr>
    </w:p>
    <w:p>
      <w:pPr>
        <w:spacing w:after="0" w:line="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Deposits exceeding the FDIC insurance limits were estimated to be $1.6 billion as of March 31, 2026, and $1.5 billion as of December 31, 2025.</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Time deposits include certain wholesale deposits, such as brokered deposits, collateralized deposits from the State of California, and deposits acquired through internet listing services. We mitigate the risk of using wholesale time deposits by managing the aggregate level of such funding, obtaining wholesale deposits through multiple sources, and leveraging collateralized deposits. Wholesale time deposits totaled $163.8 million at March 31, 2026, and were comprised of brokered deposits of $90.9 million, collateralized deposits from the State of California of $40.0 million, and deposits acquired through internet listing services of $32.9 million at March 31, 2026. This compares to wholesale time deposits of $225.7 million at December 31, 2025, comprised of brokered deposits of $145.5 million, collateralized deposits from the State of California of $40.0 million, and deposits acquired through internet listing services of $40.2 million.</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we offer deposit products through the Certificate of Deposit Account Registry Service (“CDARS”) and Insured Cash Sweeps (“ICS”) programs where customers are able to achieve FDIC insurance for balances on deposit in excess of the $250,000 FDIC limit. Time deposits held through</w:t>
      </w:r>
    </w:p>
    <w:p>
      <w:pPr>
        <w:sectPr>
          <w:pgSz w:w="11900" w:h="16838" w:orient="portrait"/>
          <w:cols w:equalWidth="0" w:num="1">
            <w:col w:w="11240"/>
          </w:cols>
          <w:pgMar w:left="320" w:top="108" w:right="339" w:bottom="0" w:gutter="0" w:footer="0" w:header="0"/>
          <w:type w:val="continuous"/>
        </w:sectPr>
      </w:pPr>
    </w:p>
    <w:bookmarkStart w:id="55" w:name="page56"/>
    <w:bookmarkEnd w:id="55"/>
    <w:p>
      <w:pPr>
        <w:spacing w:after="0" w:line="282" w:lineRule="auto"/>
        <w:rPr>
          <w:sz w:val="20"/>
          <w:szCs w:val="20"/>
          <w:color w:val="auto"/>
        </w:rPr>
      </w:pPr>
      <w:r>
        <w:rPr>
          <w:rFonts w:ascii="Times New Roman" w:cs="Times New Roman" w:eastAsia="Times New Roman" w:hAnsi="Times New Roman"/>
          <w:sz w:val="18"/>
          <w:szCs w:val="18"/>
          <w:color w:val="auto"/>
        </w:rPr>
        <w:t>the CDARS program were $139.8 million at March 31, 2026 and $128.3 million at December 31, 2025 and ICS deposits totaled $149.1 million at March 31, 2026 and $156.3 million at December 31,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FHLB Borrowings. </w:t>
      </w:r>
      <w:r>
        <w:rPr>
          <w:rFonts w:ascii="Times New Roman" w:cs="Times New Roman" w:eastAsia="Times New Roman" w:hAnsi="Times New Roman"/>
          <w:sz w:val="18"/>
          <w:szCs w:val="18"/>
          <w:color w:val="auto"/>
        </w:rPr>
        <w:t>In addition to deposits, we have used long- and short-term borrowings, such as federal funds purchased and FHLB long-and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short-term advances, as a source of funds to meet the daily liquidity needs of our customers and fund growth in earning assets. FHLB advances totaled $130.0 million at March 31, 2026 and at December 31, 2025. FHLB borrowings at March 31, 2026, included $130.0 million in putable term advances.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terms of all putable advances outstanding at March 31, 2026 are presented in Next Call Date order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Final Stated</w:t>
            </w:r>
          </w:p>
        </w:tc>
      </w:tr>
      <w:tr>
        <w:trPr>
          <w:trHeight w:val="238"/>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Advance Date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Call Structure</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Call Date</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09"/>
        </w:trPr>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5/8/2025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One time call</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5/10/2028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6/23/2025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One time call</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6/23/2028</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5/10/2028</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8/14/2025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5/14/2026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8/14/2028</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4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6/12/2026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3/12/2029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3/14/2025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Quarterly call</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6/15/2026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3/15/2029</w:t>
            </w: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5/8/2025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0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4000" w:type="dxa"/>
            <w:vAlign w:val="bottom"/>
            <w:gridSpan w:val="2"/>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Quarterly call </w:t>
            </w:r>
            <w:r>
              <w:rPr>
                <w:rFonts w:ascii="Times New Roman" w:cs="Times New Roman" w:eastAsia="Times New Roman" w:hAnsi="Times New Roman"/>
                <w:sz w:val="25"/>
                <w:szCs w:val="25"/>
                <w:color w:val="auto"/>
                <w:vertAlign w:val="superscript"/>
              </w:rPr>
              <w:t>(1)</w:t>
            </w:r>
          </w:p>
        </w:tc>
        <w:tc>
          <w:tcPr>
            <w:tcW w:w="1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5/8/2026</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5/8/2029</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6/23/2025</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400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color w:val="auto"/>
              </w:rPr>
              <w:t xml:space="preserve">Quarterly call </w:t>
            </w:r>
            <w:r>
              <w:rPr>
                <w:rFonts w:ascii="Times New Roman" w:cs="Times New Roman" w:eastAsia="Times New Roman" w:hAnsi="Times New Roman"/>
                <w:sz w:val="25"/>
                <w:szCs w:val="25"/>
                <w:color w:val="auto"/>
                <w:vertAlign w:val="superscript"/>
              </w:rPr>
              <w:t>(1)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6/23/2026</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6/23/2028</w:t>
            </w:r>
          </w:p>
        </w:tc>
      </w:tr>
      <w:tr>
        <w:trPr>
          <w:trHeight w:val="230"/>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w:t>
            </w:r>
          </w:p>
        </w:tc>
        <w:tc>
          <w:tcPr>
            <w:tcW w:w="10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6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7" w:lineRule="exact"/>
        <w:rPr>
          <w:sz w:val="20"/>
          <w:szCs w:val="20"/>
          <w:color w:val="auto"/>
        </w:rPr>
      </w:pPr>
    </w:p>
    <w:p>
      <w:pPr>
        <w:ind w:left="840" w:hanging="414"/>
        <w:spacing w:after="0"/>
        <w:tabs>
          <w:tab w:leader="none" w:pos="8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Call option after initial one year lock out.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on our total FHLB advances at and for the periods presented:</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920" w:type="dxa"/>
            <w:vAlign w:val="bottom"/>
          </w:tcPr>
          <w:p>
            <w:pPr>
              <w:spacing w:after="0"/>
              <w:rPr>
                <w:sz w:val="24"/>
                <w:szCs w:val="24"/>
                <w:color w:val="auto"/>
              </w:rPr>
            </w:pPr>
          </w:p>
        </w:tc>
        <w:tc>
          <w:tcPr>
            <w:tcW w:w="332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 Ended</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FHLB Borrowings: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(dollars in</w:t>
            </w: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period-end</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130,000</w:t>
            </w: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Average amount outstanding</w:t>
            </w:r>
          </w:p>
        </w:tc>
        <w:tc>
          <w:tcPr>
            <w:tcW w:w="320" w:type="dxa"/>
            <w:vAlign w:val="bottom"/>
          </w:tcPr>
          <w:p>
            <w:pPr>
              <w:spacing w:after="0"/>
              <w:rPr>
                <w:sz w:val="18"/>
                <w:szCs w:val="18"/>
                <w:color w:val="auto"/>
              </w:rPr>
            </w:pPr>
          </w:p>
        </w:tc>
        <w:tc>
          <w:tcPr>
            <w:tcW w:w="12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130,000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176,833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amount outstanding at any month-end</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130,000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During period</w:t>
            </w:r>
          </w:p>
        </w:tc>
        <w:tc>
          <w:tcPr>
            <w:tcW w:w="45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3.53%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5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bl>
    <w:p>
      <w:pPr>
        <w:spacing w:after="0" w:line="17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Debt. </w:t>
      </w:r>
      <w:r>
        <w:rPr>
          <w:rFonts w:ascii="Times New Roman" w:cs="Times New Roman" w:eastAsia="Times New Roman" w:hAnsi="Times New Roman"/>
          <w:sz w:val="18"/>
          <w:szCs w:val="18"/>
          <w:color w:val="auto"/>
        </w:rPr>
        <w:t>Long-term debt consists of subordinated notes. As of March 31, 2026, the amount of subordinated notes outstanding was $120.0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$119.9 million at December 31, 2025.</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2021, we issued $120.0 million of fixed to floating rate subordinated notes due April 1, 2031 (the “2031 Subordinated Notes”). The interest rate was fixed at 4.00% through March 31, 2026, and now resets quarterly to a rate of three month Secured Overnight Financing Rate (“SOFR”) plus 329 basis points starting April 1, 2026. The rate was set at 6.97% as of April 1, 2026. The 2031 Subordinated Notes are considered Tier 2 capital at the Company and are redeemable beginning April 1, 2026.</w:t>
      </w:r>
    </w:p>
    <w:p>
      <w:pPr>
        <w:spacing w:after="0" w:line="17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Subordinated Debentures. </w:t>
      </w:r>
      <w:r>
        <w:rPr>
          <w:rFonts w:ascii="Times New Roman" w:cs="Times New Roman" w:eastAsia="Times New Roman" w:hAnsi="Times New Roman"/>
          <w:sz w:val="18"/>
          <w:szCs w:val="18"/>
          <w:color w:val="auto"/>
        </w:rPr>
        <w:t>Subordinated debentures consist of subordinated debentures issued in connection with three separate trust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and totaled $15.4 million as of March 31, 2026, and $15.4 million as of December 31, 2025. Under the terms of our subordinated debentures issued in connection with the issuance of trust preferred securities, we are not permitted to declare or pay any dividends on our capital stock if an event of default occurs under the terms of the long-term debt. In addition, we have the option to defer interest payments on the subordinated debentures from time to time for a period not to exceed five consecutive years. These subordinated debentures consist of the following at March 31, 2026, and are described in detail after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Unamortized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Stated</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Subordinated</w:t>
            </w:r>
          </w:p>
        </w:tc>
        <w:tc>
          <w:tcPr>
            <w:tcW w:w="13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20" w:type="dxa"/>
            <w:vAlign w:val="bottom"/>
          </w:tcPr>
          <w:p>
            <w:pPr>
              <w:spacing w:after="0"/>
              <w:rPr>
                <w:sz w:val="20"/>
                <w:szCs w:val="20"/>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Stated Rate Description</w:t>
            </w:r>
          </w:p>
        </w:tc>
        <w:tc>
          <w:tcPr>
            <w:tcW w:w="100" w:type="dxa"/>
            <w:vAlign w:val="bottom"/>
          </w:tcPr>
          <w:p>
            <w:pPr>
              <w:spacing w:after="0"/>
              <w:rPr>
                <w:sz w:val="20"/>
                <w:szCs w:val="20"/>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Stated Maturity</w:t>
            </w:r>
          </w:p>
        </w:tc>
        <w:tc>
          <w:tcPr>
            <w:tcW w:w="0" w:type="dxa"/>
            <w:vAlign w:val="bottom"/>
          </w:tcPr>
          <w:p>
            <w:pPr>
              <w:spacing w:after="0"/>
              <w:rPr>
                <w:sz w:val="1"/>
                <w:szCs w:val="1"/>
                <w:color w:val="auto"/>
              </w:rPr>
            </w:pPr>
          </w:p>
        </w:tc>
      </w:tr>
      <w:tr>
        <w:trPr>
          <w:trHeight w:val="187"/>
        </w:trPr>
        <w:tc>
          <w:tcPr>
            <w:tcW w:w="1120" w:type="dxa"/>
            <w:vAlign w:val="bottom"/>
            <w:vMerge w:val="continue"/>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debentures: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TFC Trust</w:t>
            </w:r>
          </w:p>
        </w:tc>
        <w:tc>
          <w:tcPr>
            <w:tcW w:w="1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12/22/2006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4,169</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plus 1.65%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3/15/2037</w:t>
            </w:r>
          </w:p>
        </w:tc>
        <w:tc>
          <w:tcPr>
            <w:tcW w:w="0" w:type="dxa"/>
            <w:vAlign w:val="bottom"/>
          </w:tcPr>
          <w:p>
            <w:pPr>
              <w:spacing w:after="0"/>
              <w:rPr>
                <w:sz w:val="1"/>
                <w:szCs w:val="1"/>
                <w:color w:val="auto"/>
              </w:rPr>
            </w:pPr>
          </w:p>
        </w:tc>
      </w:tr>
      <w:tr>
        <w:trPr>
          <w:trHeight w:val="198"/>
        </w:trPr>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FAIC Trust</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12/15/2004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6,548</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plus 2.25%</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12/15/2034</w:t>
            </w:r>
          </w:p>
        </w:tc>
        <w:tc>
          <w:tcPr>
            <w:tcW w:w="0" w:type="dxa"/>
            <w:vAlign w:val="bottom"/>
          </w:tcPr>
          <w:p>
            <w:pPr>
              <w:spacing w:after="0"/>
              <w:rPr>
                <w:sz w:val="1"/>
                <w:szCs w:val="1"/>
                <w:color w:val="auto"/>
              </w:rPr>
            </w:pPr>
          </w:p>
        </w:tc>
      </w:tr>
      <w:tr>
        <w:trPr>
          <w:trHeight w:val="198"/>
        </w:trPr>
        <w:tc>
          <w:tcPr>
            <w:tcW w:w="1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4,712</w:t>
            </w:r>
          </w:p>
        </w:tc>
        <w:tc>
          <w:tcPr>
            <w:tcW w:w="3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Three-month CME Term SOFR plus 0.26%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PGBH Trust</w:t>
            </w:r>
          </w:p>
        </w:tc>
        <w:tc>
          <w:tcPr>
            <w:tcW w:w="1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12/15/2004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plus 2.10%</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12/15/2034</w:t>
            </w:r>
          </w:p>
        </w:tc>
        <w:tc>
          <w:tcPr>
            <w:tcW w:w="0" w:type="dxa"/>
            <w:vAlign w:val="bottom"/>
          </w:tcPr>
          <w:p>
            <w:pPr>
              <w:spacing w:after="0"/>
              <w:rPr>
                <w:sz w:val="1"/>
                <w:szCs w:val="1"/>
                <w:color w:val="auto"/>
              </w:rPr>
            </w:pPr>
          </w:p>
        </w:tc>
      </w:tr>
      <w:tr>
        <w:trPr>
          <w:trHeight w:val="20"/>
        </w:trPr>
        <w:tc>
          <w:tcPr>
            <w:tcW w:w="1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15,429</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2026, we were in compliance with all covenants under our long-term debt agreements and subordinated debt.</w:t>
      </w:r>
    </w:p>
    <w:p>
      <w:pPr>
        <w:spacing w:after="0" w:line="22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the TFC Statutory Trust ("TFC Trust"), which has issued a total of $5.2 million securities ($5.0 million in capital securities and $155,000 in common securities). The TFC Trust subordinated debentures have a variable rate of interest equal to three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month CME Term SOFR plus applicable tenor spread adjustment of 0.26% plus 1.65%, which was 5.59% as of March 31, 2026, and 5.63% at December 31, 2025.</w:t>
      </w:r>
    </w:p>
    <w:p>
      <w:pPr>
        <w:sectPr>
          <w:pgSz w:w="11900" w:h="16838" w:orient="portrait"/>
          <w:cols w:equalWidth="0" w:num="1">
            <w:col w:w="11240"/>
          </w:cols>
          <w:pgMar w:left="320" w:top="121" w:right="339" w:bottom="825"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2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the First American International Statutory Trust I ("FAIC Trust"), which has issued a total of $7.2 million securities ($7.0 million in capital securities and $217,000 in common securities). The FAIC Trust subordinated debentures have a variable rate of interest equal to three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month CME Term SOFR plus applicable tenor spread adjustment of 0.26% plus 2.25%, which was 6.19% as of March 31, 2026, and 6.23% at December 31, 2025.</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maintains the Pacific Global Bank Trust I ("PGBH Trust"), a Delaware statutory trust formed in December 2004. PGBH Trust issued 5,000 units of fixed-to-floating rate capital securities with an aggregate liquidation amount of $5.0 million and 155 common securities with an aggregate liquidation amount of $155,000. The PGBH subordinated debentures have a variable rate of interest equal to three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month CME Term SOFR plus applicable tenor spread adjustment of 0.26% plus 2.10%, which was 6.04% as of March 31, 2026, and 6.08% at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 Management</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Resources. </w:t>
      </w:r>
      <w:r>
        <w:rPr>
          <w:rFonts w:ascii="Times New Roman" w:cs="Times New Roman" w:eastAsia="Times New Roman" w:hAnsi="Times New Roman"/>
          <w:sz w:val="18"/>
          <w:szCs w:val="18"/>
          <w:color w:val="auto"/>
        </w:rPr>
        <w:t>Shareholders’ equity is influenced primarily by earnings, dividends, sales and redemptions of common stock and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changes in accumulated other comprehensive income, net of taxes, from AFS investment securities.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Shareholders’ equity increased $7.6 million, or 1.5%, to $531.1 million as of March 31, 2026, from $523.4 million at December 31, 2025. The increase in shareholders' equity for the three months of 2026 was due to net income of $11.3 million and lower unrealized losses on AFS securities in accumulated other comprehensive loss, net of tax, of $962,000, offset by common stock cash dividends paid of $2.8 million. As a result, book value per share increased to $31.10 from $30.69 at December 31, 2025, and tangible book value per share increased to $26.84 from $26.42 at December 31, 2025. For additional information, see </w:t>
      </w:r>
      <w:r>
        <w:rPr>
          <w:rFonts w:ascii="Times New Roman" w:cs="Times New Roman" w:eastAsia="Times New Roman" w:hAnsi="Times New Roman"/>
          <w:sz w:val="18"/>
          <w:szCs w:val="18"/>
          <w:i w:val="1"/>
          <w:iCs w:val="1"/>
          <w:color w:val="auto"/>
        </w:rPr>
        <w:t>"Non-GAAP Financial Measures."</w:t>
      </w:r>
    </w:p>
    <w:p>
      <w:pPr>
        <w:spacing w:after="0" w:line="179"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Management. </w:t>
      </w:r>
      <w:r>
        <w:rPr>
          <w:rFonts w:ascii="Times New Roman" w:cs="Times New Roman" w:eastAsia="Times New Roman" w:hAnsi="Times New Roman"/>
          <w:sz w:val="18"/>
          <w:szCs w:val="18"/>
          <w:color w:val="auto"/>
        </w:rPr>
        <w:t>Liquidity refers to the measure of our ability to meet the cash flow requirements of depositors and borrowers, while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time meeting our operating, capital and strategic cash flow needs, all at a reasonable cost. We continuously monitor our liquidity position to ensure that assets and liabilities are managed in a manner that will meet all short-term and long-term cash requirements, both known and unknown. We manage our liquidity position to meet the daily cash flow needs of customers, while also maintaining an appropriate balance between assets and liabilities to meet the return on investment objectives of our shareholders.</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liabilities and access to alternative sources of funds. Liquid assets include cash, interest-earning deposits in banks, federal funds sold, available for sale securities, term federal funds, purchased receivables and maturing or prepaying balances in our securities and loan portfolios. Liquid liabilities include retail deposits, federal funds purchased, securities sold under repurchase agreements and other borrowings. Other sources of liquidity include the sale of loans, the ability to acquire additional wholesale funding, the issuance of additional collateralized borrowings through FHLB advances or the Federal Reserve’s discount window, and the ability to access the capital markets through the issuance of debt securities, preferred securities or common securities. Our short-term and long-term liquidity requirements are primarily to fund known and unknown on-going operations, including payment of interest on deposits and debt, extensions of credit to borrowers, capital expenditures and shareholder dividends. These liquidity requirements are met primarily through cash flow from operations, redeployment of prepaying and maturing balances in our loan and investment portfolios, debt financing and increases in customer deposits. For additional information regarding our operating, investing and financing cash flows, see the consolidated statements of cash flows provided in our consolidated financial statements.</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Integral to our liquidity management is the administration of short-term borrowings. To the extent we are unable to obtain sufficient liquidity through core deposits, we seek to meet our liquidity needs through wholesale funding or other borrowings on either a short- or long-term basis. Our wholesale funding ratio was 8.6% at March 31, 2026, compared to 10.3% at December 31, 2025.</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sufficient capital and do not anticipate any need for additional liquidity sources as of March 31, 2026. As of March 31, 2026, and December 31, 2025, we had $97.0 million of unsecured federal funds lines with other financial institutions and no amounts advanced against these lines. In addition, secured lines of credit from the Federal Reserve Discount Window were $70.0 million at March 31, 2026, and $66.5 million at December 31, 2025. Federal Reserve Discount Window lines were collateralized by a pool of CRE loans totaling $89.6 million as of March 31, 2026, and $88.9 million as of December 31, 2025. We did not have any borrowings outstanding with the Federal Reserve at March 31, 2026, and December 31, 2025.</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we had $130.0 million in FHLB advances. Based on the values of loans pledged as collateral, we had $1.4 billion of remaining secured borrowing capacity with the FHLB as of March 31, 2026, and December 31, 2025.</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Bancorp is a corporation separate and apart from the Bank and, therefore, must provide for its own liquidity. Bancorp’s main source of funding is dividends declared and paid to Bancorp by the Bank. There are statutory, regulatory and debt covenant limitations that affect the ability of the Bank to pay dividends to Bancorp. Management believes that these limitations will not impact our ability to meet our ongoing short-term cash obligations. The Bank paid no cash dividends to Bancorp during the three months ended March 31, 2026, and $45.0 million during the twelve months ended December 31, 2025. Dividends on common stock during the three months ended March 31, 2026, and the year ended December 31, 2025, totaled $2.8 million and $11.3 million. At March 31, 2026, Bancorp had $43.2 million in cash, of which $42.9 million was on deposit at the Bank.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contains supplemental information regarding our total contractual obligations at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Payments Due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Within</w:t>
            </w:r>
          </w:p>
        </w:tc>
        <w:tc>
          <w:tcPr>
            <w:tcW w:w="100" w:type="dxa"/>
            <w:vAlign w:val="bottom"/>
          </w:tcPr>
          <w:p>
            <w:pPr>
              <w:spacing w:after="0"/>
              <w:rPr>
                <w:sz w:val="16"/>
                <w:szCs w:val="16"/>
                <w:color w:val="auto"/>
              </w:rPr>
            </w:pPr>
          </w:p>
        </w:tc>
        <w:tc>
          <w:tcPr>
            <w:tcW w:w="1140" w:type="dxa"/>
            <w:vAlign w:val="bottom"/>
            <w:gridSpan w:val="2"/>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One to</w:t>
            </w:r>
          </w:p>
        </w:tc>
        <w:tc>
          <w:tcPr>
            <w:tcW w:w="140" w:type="dxa"/>
            <w:vAlign w:val="bottom"/>
          </w:tcPr>
          <w:p>
            <w:pPr>
              <w:spacing w:after="0"/>
              <w:rPr>
                <w:sz w:val="16"/>
                <w:szCs w:val="16"/>
                <w:color w:val="auto"/>
              </w:rPr>
            </w:pPr>
          </w:p>
        </w:tc>
        <w:tc>
          <w:tcPr>
            <w:tcW w:w="13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Over Three to</w:t>
            </w: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After Five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4"/>
              </w:rPr>
              <w:t>(dollars 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without a stated maturity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1,702,617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1,625,727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1,637,267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advances (1)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15,429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26,487</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3,443,883</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3,631,800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xml:space="preserve">(1)See </w:t>
      </w:r>
      <w:r>
        <w:rPr>
          <w:rFonts w:ascii="Times New Roman" w:cs="Times New Roman" w:eastAsia="Times New Roman" w:hAnsi="Times New Roman"/>
          <w:sz w:val="14"/>
          <w:szCs w:val="14"/>
          <w:i w:val="1"/>
          <w:iCs w:val="1"/>
          <w:color w:val="auto"/>
        </w:rPr>
        <w:t>"FHLB Borrowings"</w:t>
      </w:r>
      <w:r>
        <w:rPr>
          <w:rFonts w:ascii="Times New Roman" w:cs="Times New Roman" w:eastAsia="Times New Roman" w:hAnsi="Times New Roman"/>
          <w:sz w:val="14"/>
          <w:szCs w:val="14"/>
          <w:color w:val="auto"/>
        </w:rPr>
        <w:t xml:space="preserve"> for the structure of FHLB advances that are callable by FHLB within one year, however final stated maturities range from 2.1 to 3.1 years as of March 31,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12 in our consolidated financial statements for information related to our off-balance sheet arrangements.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Some of the financial measures included herein are not measures of financial performance recognized by GAAP. These non-GAAP financial measures include the “tangible common equity to tangible assets ratio,” “tangible book value per share,” and “return on average tangible common equity.” Our management uses these non-GAAP financial measures in our analysis of our performance.</w:t>
      </w:r>
    </w:p>
    <w:p>
      <w:pPr>
        <w:spacing w:after="0" w:line="17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Tangible Common Equity to Tangible Assets Ratio and Tangible Book Value Per Share. </w:t>
      </w:r>
      <w:r>
        <w:rPr>
          <w:rFonts w:ascii="Times New Roman" w:cs="Times New Roman" w:eastAsia="Times New Roman" w:hAnsi="Times New Roman"/>
          <w:sz w:val="18"/>
          <w:szCs w:val="18"/>
          <w:color w:val="auto"/>
        </w:rPr>
        <w:t>The tangible common equity to tangible assets ratio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tangible book value per share are non-GAAP measures generally used by financial analysts and investment bankers to evaluate capital adequacy. We calculate: (i) tangible common equity as total shareholders’ equity less goodwill and other intangible assets (excluding mortgage servicing assets); (ii) tangible assets as total assets less goodwill and other intangible assets (excluding mortgage servicing assets); and (iii) tangible book value per share as tangible common equity divided by period end shares of common stock outstanding.</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banking regulators, many financial analysts and other investors use these measures in conjunction with more traditional bank capital ratios to compare the capital adequacy of banking organizations with significant amounts of goodwill or other intangible assets, which typically stem from the use of the purchase method of accounting for mergers and acquisitions. Tangible common equity, tangible assets, tangible book value per share and related measures should not be considered in isolation or as a substitute for total shareholders’ equity, total assets, book value per share or any other measure calculated in accordance with GAAP. Moreover, the manner in which we calculate tangible common equity, tangible assets, tangible book value per share and any other related measures may differ from that of other companies reporting measures with similar names. The following table reconciles shareholders’ equity (on a GAAP basis) to tangible common equity and total assets (on a GAAP basis) to tangible assets, and calculates our tangible book value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Tangible Common Equity Ratios:</w:t>
            </w:r>
          </w:p>
        </w:tc>
        <w:tc>
          <w:tcPr>
            <w:tcW w:w="1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87"/>
              </w:rPr>
              <w:t>(dollars in thousands)</w:t>
            </w: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Tangible common equity:</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531,054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523,410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510,306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(71,498)</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(71,498)</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deposit intangible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0"/>
        </w:trPr>
        <w:tc>
          <w:tcPr>
            <w:tcW w:w="48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w:t>
            </w:r>
          </w:p>
        </w:tc>
        <w:tc>
          <w:tcPr>
            <w:tcW w:w="1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458,352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450,574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436,969</w:t>
            </w:r>
          </w:p>
        </w:tc>
      </w:tr>
      <w:tr>
        <w:trPr>
          <w:trHeight w:val="20"/>
        </w:trPr>
        <w:tc>
          <w:tcPr>
            <w:tcW w:w="4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Tangible assets:</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assets-GAAP</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4,194,312</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4,208,294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4,009,400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(71,498)</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(71,498)</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deposit intangible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w:t>
            </w:r>
          </w:p>
        </w:tc>
      </w:tr>
      <w:tr>
        <w:trPr>
          <w:trHeight w:val="20"/>
        </w:trPr>
        <w:tc>
          <w:tcPr>
            <w:tcW w:w="48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Tangible assets</w:t>
            </w:r>
          </w:p>
        </w:tc>
        <w:tc>
          <w:tcPr>
            <w:tcW w:w="1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4,121,610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4,135,458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3,936,063</w:t>
            </w:r>
          </w:p>
        </w:tc>
      </w:tr>
      <w:tr>
        <w:trPr>
          <w:trHeight w:val="20"/>
        </w:trPr>
        <w:tc>
          <w:tcPr>
            <w:tcW w:w="4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Common shares outstanding</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17,074,159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2"/>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17,057,397</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17,738,628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equity to assets ratio</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common equity to tangible assets ratio</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31.10</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24.63</w:t>
            </w:r>
          </w:p>
        </w:tc>
      </w:tr>
    </w:tbl>
    <w:p>
      <w:pPr>
        <w:spacing w:after="0" w:line="194"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Return on Average Tangible Common Equity. </w:t>
      </w:r>
      <w:r>
        <w:rPr>
          <w:rFonts w:ascii="Times New Roman" w:cs="Times New Roman" w:eastAsia="Times New Roman" w:hAnsi="Times New Roman"/>
          <w:sz w:val="18"/>
          <w:szCs w:val="18"/>
          <w:color w:val="auto"/>
        </w:rPr>
        <w:t>Management measures return on average tangible common equity (“ROATCE”) to assess our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strength and business performance. Tangible equity excludes goodwill and other intangible assets (excluding mortgage servicing assets) and is reviewed by banking and financial institution regulators when assessing a financial institution’s capital adequacy. This non-GAAP financial measure should not be considered a substitute for operating results determined in accordance with GAAP and may not be comparable to other similarly titled measures used by other companies. The following table reconciles ROATCE to its most comparable GAAP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1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Return on average tangible common equity:</w:t>
            </w:r>
          </w:p>
        </w:tc>
        <w:tc>
          <w:tcPr>
            <w:tcW w:w="1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0"/>
        </w:trPr>
        <w:tc>
          <w:tcPr>
            <w:tcW w:w="51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6"/>
              </w:rPr>
              <w:t>(dollars 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11,300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10,177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Average shareholders' equity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529,382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512,262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goodwill</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core deposit intangible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0"/>
        </w:trPr>
        <w:tc>
          <w:tcPr>
            <w:tcW w:w="5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Adjusted average tangible common equity</w:t>
            </w:r>
          </w:p>
        </w:tc>
        <w:tc>
          <w:tcPr>
            <w:tcW w:w="1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456,596</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446,256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438,813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Return on average common equity, annualized</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Return on average tangible common equity, annualized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Pre-tax Pre-Provision Income. </w:t>
      </w:r>
      <w:r>
        <w:rPr>
          <w:rFonts w:ascii="Times New Roman" w:cs="Times New Roman" w:eastAsia="Times New Roman" w:hAnsi="Times New Roman"/>
          <w:sz w:val="18"/>
          <w:szCs w:val="18"/>
          <w:color w:val="auto"/>
        </w:rPr>
        <w:t>Management believes that pre-tax pre-provision (“PTPP”) income is a useful measure for investors to evaluate core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performance, excluding the volatility of credit provision expenses. PTPP income is calculated by subtracting noninterest expense from the sum of net interest income and noninterest income, as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before provision for credit losses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30,503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Noninterest income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Less: Noninterest expense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(18,965)</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(18,522)</w:t>
            </w:r>
          </w:p>
        </w:tc>
      </w:tr>
      <w:tr>
        <w:trPr>
          <w:trHeight w:val="20"/>
        </w:trPr>
        <w:tc>
          <w:tcPr>
            <w:tcW w:w="5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pre-provision income</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15,496</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9,936</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jc w:val="both"/>
        <w:ind w:firstLine="556"/>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due to changes in market values of assets and liabilities. We incur market risk in the normal course of business through exposures to market interest rates, equity prices, and credit spreads. We have identified three primary sources of market risk: interest rate risk, price risk and basis risk.</w:t>
      </w:r>
    </w:p>
    <w:p>
      <w:pPr>
        <w:spacing w:after="0" w:line="17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Interest rate risk is the risk to earnings and value arising from changes in market interest rates. Interest rate risk arises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timing differences in the repricing and maturities of interest-earning assets and interest-bearing liabilities (repricing risk), changes in the expected maturities of assets and liabilities arising from embedded options, such as borrowers’ ability to prepay residential mortgage loans at any time and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8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Price Risk. </w:t>
      </w:r>
      <w:r>
        <w:rPr>
          <w:rFonts w:ascii="Times New Roman" w:cs="Times New Roman" w:eastAsia="Times New Roman" w:hAnsi="Times New Roman"/>
          <w:sz w:val="18"/>
          <w:szCs w:val="18"/>
          <w:color w:val="auto"/>
        </w:rPr>
        <w:t>Price risk represents the risk of loss arising from adverse movements in the prices of financial instruments that are carried at fair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subject to fair value accounting. We have price risk from the available for sale SFR mortgage loans and fixed-rate available for sale securities.</w:t>
      </w:r>
    </w:p>
    <w:p>
      <w:pPr>
        <w:spacing w:after="0" w:line="15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Risk. </w:t>
      </w:r>
      <w:r>
        <w:rPr>
          <w:rFonts w:ascii="Times New Roman" w:cs="Times New Roman" w:eastAsia="Times New Roman" w:hAnsi="Times New Roman"/>
          <w:sz w:val="18"/>
          <w:szCs w:val="18"/>
          <w:color w:val="auto"/>
        </w:rPr>
        <w:t>Basis risk represents the risk of loss arising from asset and liability pricing movements not changing in the same direction.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risk primarily in the SFR mortgage loan portfolio, the multi-family loan portfolio and our securities portfolio.</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ALCO establishes broad policy limits with respect to interest rate risk. The ALCO establishes specific operating guidelines within the parameters of the board of directors’ policies. In general, we seek to minimize the impact of changing interest rates on net interest income and the economic values of assets and liabilities. The ALCO monitors the level of interest rate risk sensitivity to ensure compliance with the board of directors’ approved risk limits and to oversee management's balance sheet risk management strategies.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rate risk management is an active process that encompasses monitoring loan and deposit flows complemented by investment and funding activities. Effective management of interest rate risk begins with understanding the dynamic characteristics of assets and liabilities and determining the appropriate interest rate risk posture given business forecasts, management objectives, market expectations, and policy constraints.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 asset sensitive position refers to a balance sheet position in which a short-term decrease in interest rates is expected to generate lower net interest income, as rates earned on interest-earning assets would reprice downward more quickly than rates paid on interest-bearing liabilities, thus compressing the net interest margin. Conversely, a liability sensitive position refers to a balance sheet position in which a short-term decrease in interest rates is expected to generate higher net interest income, as rates paid on interest-bearing liabilities would reprice downward more quickly than rates earned on interest-earning assets, thus expanding the net interest margin.</w:t>
      </w:r>
    </w:p>
    <w:p>
      <w:pPr>
        <w:spacing w:after="0" w:line="18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Simulation and Economic Value Analysis. </w:t>
      </w:r>
      <w:r>
        <w:rPr>
          <w:rFonts w:ascii="Times New Roman" w:cs="Times New Roman" w:eastAsia="Times New Roman" w:hAnsi="Times New Roman"/>
          <w:sz w:val="18"/>
          <w:szCs w:val="18"/>
          <w:color w:val="auto"/>
        </w:rPr>
        <w:t>Interest rate risk measurement is calculated and reported to the board and the ALCO at least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The information reported includes period-end results and identifies any policy limits exceeded, along with an assessment of the policy limit breach and the action plan and timeline for resolution, mitigation, or assumption of the risk.</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two approaches to model interest rate risk: Net Interest Income at Risk ("NII at Risk"), and Economic Value of Equity (“EVE”). Under NII at Risk, net interest income is modeled utilizing various assumptions for assets, liabilities, and derivatives over a 12 month time horizon assuming a flat balance sheet and an instantaneous and parallel shift in market interest rates in 100 basis point increments. We report NII at Risk to isolate the change in income related solely to interest-earning assets and interest-bearing liabilities. The model results do not take into consideration any steps management might take to respond to the changes in interest rates or changes in competitor or customer behavior. EVE measures the period end market value of assets minus the market value of liabilities and the change in this value as rates change. EVE is a period end measurement.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Interest Income Sensitivity</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Immediate Change in Rates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8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(dollars</w:t>
            </w:r>
          </w:p>
        </w:tc>
        <w:tc>
          <w:tcPr>
            <w:tcW w:w="280" w:type="dxa"/>
            <w:vAlign w:val="bottom"/>
            <w:vMerge w:val="continue"/>
          </w:tcPr>
          <w:p>
            <w:pPr>
              <w:spacing w:after="0"/>
              <w:rPr>
                <w:sz w:val="14"/>
                <w:szCs w:val="14"/>
                <w:color w:val="auto"/>
              </w:rPr>
            </w:pPr>
          </w:p>
        </w:tc>
        <w:tc>
          <w:tcPr>
            <w:tcW w:w="10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Dollar change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7,993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(8,942)</w:t>
            </w:r>
          </w:p>
        </w:tc>
        <w:tc>
          <w:tcPr>
            <w:tcW w:w="0" w:type="dxa"/>
            <w:vAlign w:val="bottom"/>
          </w:tcPr>
          <w:p>
            <w:pPr>
              <w:spacing w:after="0"/>
              <w:rPr>
                <w:sz w:val="1"/>
                <w:szCs w:val="1"/>
                <w:color w:val="auto"/>
              </w:rPr>
            </w:pPr>
          </w:p>
        </w:tc>
      </w:tr>
      <w:tr>
        <w:trPr>
          <w:trHeight w:val="216"/>
        </w:trPr>
        <w:tc>
          <w:tcPr>
            <w:tcW w:w="3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 change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196"/>
        </w:trPr>
        <w:tc>
          <w:tcPr>
            <w:tcW w:w="3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Dollar change</w:t>
            </w:r>
          </w:p>
        </w:tc>
        <w:tc>
          <w:tcPr>
            <w:tcW w:w="1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11,201</w:t>
            </w:r>
          </w:p>
        </w:tc>
        <w:tc>
          <w:tcPr>
            <w:tcW w:w="26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5,268</w:t>
            </w: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3,325</w:t>
            </w:r>
          </w:p>
        </w:tc>
        <w:tc>
          <w:tcPr>
            <w:tcW w:w="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(2,860)</w:t>
            </w: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(5,527)</w:t>
            </w: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16"/>
        </w:trPr>
        <w:tc>
          <w:tcPr>
            <w:tcW w:w="3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 change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2026, our NII at Risk profile is liability sensitive. This is directionally consistent with our profile at December 31, 2025. Actual results could vary materially from those calculated by our model, due to a variety of factors or assumptions such as the uncertainty of the magnitude, timing and direction of future interest rate movement or the shape of the yield curve. The NII at Risk results are within board policy limits.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6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Economic Value of Equity Sensitivity</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Immediate Change in Rates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-300</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w w:val="92"/>
              </w:rPr>
              <w:t>in</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(dollars</w:t>
            </w:r>
          </w:p>
        </w:tc>
        <w:tc>
          <w:tcPr>
            <w:tcW w:w="280" w:type="dxa"/>
            <w:vAlign w:val="bottom"/>
            <w:vMerge w:val="continue"/>
          </w:tcPr>
          <w:p>
            <w:pPr>
              <w:spacing w:after="0"/>
              <w:rPr>
                <w:sz w:val="14"/>
                <w:szCs w:val="14"/>
                <w:color w:val="auto"/>
              </w:rPr>
            </w:pPr>
          </w:p>
        </w:tc>
        <w:tc>
          <w:tcPr>
            <w:tcW w:w="10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Dollar change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(72,420)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(5,345)</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(16,458)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(35,396)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(58,429)</w:t>
            </w:r>
          </w:p>
        </w:tc>
        <w:tc>
          <w:tcPr>
            <w:tcW w:w="0" w:type="dxa"/>
            <w:vAlign w:val="bottom"/>
          </w:tcPr>
          <w:p>
            <w:pPr>
              <w:spacing w:after="0"/>
              <w:rPr>
                <w:sz w:val="1"/>
                <w:szCs w:val="1"/>
                <w:color w:val="auto"/>
              </w:rPr>
            </w:pP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Percent change</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196"/>
        </w:trPr>
        <w:tc>
          <w:tcPr>
            <w:tcW w:w="3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Dollar change</w:t>
            </w: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(48,495)</w:t>
            </w: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7,557</w:t>
            </w:r>
          </w:p>
        </w:tc>
        <w:tc>
          <w:tcPr>
            <w:tcW w:w="1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8,430</w:t>
            </w:r>
          </w:p>
        </w:tc>
        <w:tc>
          <w:tcPr>
            <w:tcW w:w="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(18,774)</w:t>
            </w: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(39,714)</w:t>
            </w: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(64,688)</w:t>
            </w:r>
          </w:p>
        </w:tc>
        <w:tc>
          <w:tcPr>
            <w:tcW w:w="0" w:type="dxa"/>
            <w:vAlign w:val="bottom"/>
          </w:tcPr>
          <w:p>
            <w:pPr>
              <w:spacing w:after="0"/>
              <w:rPr>
                <w:sz w:val="1"/>
                <w:szCs w:val="1"/>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 change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At March 31, 2026, the EVE position is projected to decrease in the up rate scenarios and down 300 and 200 rate scenarios. When interest rates rise, fixed rate assets generally lose economic value as these instruments are discounted at a higher rate demonstrating the relative longer asset duration as compared to the overall liability duration. When interest rates decrease, the value of noninterest-bearing deposits also decreases. In addition, as the down rate shocks become more severe the pace of the increase in the value of loans also slows due to an increase in loan prepayments and the impact of discount rates reaching their floors; this results in a change of EVE volatility from positive to negative between the down 100 and 200 scenarios. Actual results could vary materially from those calculated by our model, due to a variety of factors or assumptions such as the uncertainty of the magnitude, timing and direction of future interest rate movement or the shape of the yield curve. The EVE results are within board policy limits.</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of Disclosure Controls and Procedures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our principal executive officer and principal financial officer, have evaluated the effectiveness of our “disclosure controls and procedures” (as defined in Rule 13a-15(e) under the Exchange Act), as of the end of the period covered by this Form 10-Q. Based on this evaluation, our principal executive officer and principal financial officer have concluded that, as of March 31, 2026, our disclosure controls and procedures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Internal Controls Over Financial Reporting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 13a-15(f) under the Exchange Act) during the fiscal quarter to which this Form 10-Q relates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litigation incidental to our business. Management believes that none of the legal proceedings occurring in the ordinary course of business, individually or in the aggregate, will have a material adverse impact on the results of operations or financial condition of the Company.</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previously disclosed in Part I,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of our 2025 Annual Report. The materiality of any risks and uncertainties identified in our Forward-Looking Statements contained in this Report or those that are presently unforeseen could result in significant adverse effects on our financial condition, results of operations and cash flows. See Part I, Item 2 for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Analysis of Financial Condition and Results of Operations</w:t>
      </w:r>
      <w:r>
        <w:rPr>
          <w:rFonts w:ascii="Times New Roman" w:cs="Times New Roman" w:eastAsia="Times New Roman" w:hAnsi="Times New Roman"/>
          <w:sz w:val="18"/>
          <w:szCs w:val="18"/>
          <w:color w:val="auto"/>
        </w:rPr>
        <w:t>” in this Report.</w:t>
      </w:r>
    </w:p>
    <w:p>
      <w:pPr>
        <w:spacing w:after="0" w:line="1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29, 2025, the Company announced a stock repurchase program providing for the repurchase of up to $18.0 million of the Company's outstanding common stock of which $4.1 million remained available as of March 31, 2026. We repurchased 746,949 shares of common stock for a total of $14.0 million at a weighted average share price of $18.55 during 2025. We did not repurchase shares during the three months ended March 31, 2026. The stock repurchase program will expire on June 30, 2026, but may be discontinued or amended at any time.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repurchases of common stock during the first quarter of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2026 to January 31,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2026 to February 28,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2026 to March 31,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92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Dollar</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 that</w:t>
            </w:r>
          </w:p>
        </w:tc>
      </w:tr>
      <w:tr>
        <w:trPr>
          <w:trHeight w:val="216"/>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Paid per</w:t>
            </w:r>
          </w:p>
        </w:tc>
        <w:tc>
          <w:tcPr>
            <w:tcW w:w="1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Under the</w:t>
            </w:r>
          </w:p>
        </w:tc>
      </w:tr>
      <w:tr>
        <w:trPr>
          <w:trHeight w:val="23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Plan</w:t>
            </w:r>
          </w:p>
        </w:tc>
      </w:tr>
      <w:tr>
        <w:trPr>
          <w:trHeight w:val="191"/>
        </w:trPr>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b w:val="1"/>
                <w:bCs w:val="1"/>
                <w:color w:val="auto"/>
              </w:rPr>
              <w:t>(dollars in</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6"/>
        </w:trPr>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r>
      <w:tr>
        <w:trPr>
          <w:trHeight w:val="234"/>
        </w:trPr>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4,100</w:t>
            </w:r>
          </w:p>
        </w:tc>
      </w:tr>
      <w:tr>
        <w:trPr>
          <w:trHeight w:val="209"/>
        </w:trPr>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464"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 officer or director of the Company adopted or terminated any contract, instruction, or written plan for the purchase or sale of securities of our common stock that is intended to satisfy the affirmative defense conditions of Exchange Act Rule 10b5-1(c) or any non-Rule 10b5-1 trading arrangement as defined in 17 CFR§ 229.408(c).</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20" w:type="dxa"/>
            <w:vAlign w:val="bottom"/>
          </w:tcPr>
          <w:p>
            <w:pPr>
              <w:spacing w:after="0"/>
              <w:rPr>
                <w:sz w:val="20"/>
                <w:szCs w:val="20"/>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 xml:space="preserve">Articles of Incorporation of RBB Bancorp </w:t>
              </w:r>
            </w:hyperlink>
            <w:r>
              <w:rPr>
                <w:rFonts w:ascii="Times New Roman" w:cs="Times New Roman" w:eastAsia="Times New Roman" w:hAnsi="Times New Roman"/>
                <w:sz w:val="29"/>
                <w:szCs w:val="29"/>
                <w:color w:val="000000"/>
                <w:vertAlign w:val="superscript"/>
              </w:rPr>
              <w:t>(1)</w:t>
            </w: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0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 xml:space="preserve">Bylaws of RBB Bancorp </w:t>
              </w:r>
            </w:hyperlink>
            <w:r>
              <w:rPr>
                <w:rFonts w:ascii="Times New Roman" w:cs="Times New Roman" w:eastAsia="Times New Roman" w:hAnsi="Times New Roman"/>
                <w:sz w:val="29"/>
                <w:szCs w:val="29"/>
                <w:color w:val="000000"/>
                <w:vertAlign w:val="superscript"/>
              </w:rPr>
              <w:t>(2)</w:t>
            </w:r>
          </w:p>
        </w:tc>
        <w:tc>
          <w:tcPr>
            <w:tcW w:w="7080" w:type="dxa"/>
            <w:vAlign w:val="bottom"/>
            <w:gridSpan w:val="5"/>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 xml:space="preserve">Amendment to Bylaws of RBB Bancorp </w:t>
              </w:r>
            </w:hyperlink>
            <w:r>
              <w:rPr>
                <w:rFonts w:ascii="Times New Roman" w:cs="Times New Roman" w:eastAsia="Times New Roman" w:hAnsi="Times New Roman"/>
                <w:sz w:val="29"/>
                <w:szCs w:val="29"/>
                <w:color w:val="000000"/>
                <w:vertAlign w:val="superscript"/>
              </w:rPr>
              <w:t>(4)</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 xml:space="preserve">Specimen Common Stock Certificate of RBB Bancorp </w:t>
              </w:r>
            </w:hyperlink>
            <w:r>
              <w:rPr>
                <w:rFonts w:ascii="Times New Roman" w:cs="Times New Roman" w:eastAsia="Times New Roman" w:hAnsi="Times New Roman"/>
                <w:sz w:val="29"/>
                <w:szCs w:val="29"/>
                <w:color w:val="000000"/>
                <w:vertAlign w:val="superscript"/>
              </w:rPr>
              <w:t>(3)</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432"/>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The other instruments defining the rights of holders of the long-term debt securities of the Company and its subsidiaries are omitted</w:t>
            </w:r>
          </w:p>
        </w:tc>
      </w:tr>
      <w:tr>
        <w:trPr>
          <w:trHeight w:val="216"/>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pursuant to section (b)(4)(iii)(A) of Item 601 of Regulation S-K. The Company hereby agrees to furnish copies of these instruments to the</w:t>
            </w:r>
          </w:p>
        </w:tc>
      </w:tr>
      <w:tr>
        <w:trPr>
          <w:trHeight w:val="236"/>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SEC upon request.</w:t>
            </w:r>
          </w:p>
        </w:tc>
      </w:tr>
      <w:tr>
        <w:trPr>
          <w:trHeight w:val="391"/>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940" w:type="dxa"/>
            <w:vAlign w:val="bottom"/>
          </w:tcPr>
          <w:p>
            <w:pPr>
              <w:spacing w:after="0"/>
              <w:rPr>
                <w:sz w:val="24"/>
                <w:szCs w:val="24"/>
                <w:color w:val="auto"/>
              </w:rPr>
            </w:pP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7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2980" w:type="dxa"/>
            <w:vAlign w:val="bottom"/>
            <w:gridSpan w:val="2"/>
          </w:tcPr>
          <w:p>
            <w:pPr>
              <w:spacing w:after="0"/>
              <w:rPr>
                <w:sz w:val="24"/>
                <w:szCs w:val="24"/>
                <w:color w:val="auto"/>
              </w:rPr>
            </w:pP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c>
          <w:tcPr>
            <w:tcW w:w="2940" w:type="dxa"/>
            <w:vAlign w:val="bottom"/>
          </w:tcPr>
          <w:p>
            <w:pPr>
              <w:spacing w:after="0"/>
              <w:rPr>
                <w:sz w:val="24"/>
                <w:szCs w:val="24"/>
                <w:color w:val="auto"/>
              </w:rPr>
            </w:pPr>
          </w:p>
        </w:tc>
      </w:tr>
      <w:tr>
        <w:trPr>
          <w:trHeight w:val="412"/>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3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71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00" w:type="dxa"/>
            <w:vAlign w:val="bottom"/>
            <w:gridSpan w:val="3"/>
          </w:tcPr>
          <w:p>
            <w:pPr>
              <w:spacing w:after="0"/>
              <w:rPr>
                <w:sz w:val="20"/>
                <w:szCs w:val="20"/>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1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40" w:right="560" w:hanging="1132"/>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RBB Bancorp’s Quarterly Report on Form 10-Q for the quarter ended March 31, 2026, formatted in Inline XBRL (contained in Exhibit 101)</w:t>
      </w:r>
    </w:p>
    <w:p>
      <w:pPr>
        <w:spacing w:after="0" w:line="162"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3.1 of the Registrant’s Registration Statement in Form S-1 filed with the SEC on June 28, 2017.</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3.2 of the Registrant’s Registration Statement in Form S-1 filed with the SEC on June 28, 2017.</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4.1 of the Registrant’s Registration Statement in Form S-1 filed with the SEC on June 28, 2017.</w:t>
      </w:r>
    </w:p>
    <w:p>
      <w:pPr>
        <w:spacing w:after="0" w:line="225" w:lineRule="exact"/>
        <w:rPr>
          <w:rFonts w:ascii="Times New Roman" w:cs="Times New Roman" w:eastAsia="Times New Roman" w:hAnsi="Times New Roman"/>
          <w:sz w:val="18"/>
          <w:szCs w:val="18"/>
          <w:color w:val="auto"/>
        </w:rPr>
      </w:pPr>
    </w:p>
    <w:p>
      <w:pPr>
        <w:jc w:val="center"/>
        <w:ind w:left="5540" w:right="860" w:hanging="5532"/>
        <w:spacing w:after="0" w:line="53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3.3 of the Registrant’s Quarterly Report in Form 10-Q filed with the SEC on November 13, 2018.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RBB BANCORP</w:t>
            </w:r>
          </w:p>
        </w:tc>
      </w:tr>
      <w:tr>
        <w:trPr>
          <w:trHeight w:val="228"/>
        </w:trPr>
        <w:tc>
          <w:tcPr>
            <w:tcW w:w="34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Johnny Lee</w:t>
            </w:r>
          </w:p>
        </w:tc>
      </w:tr>
      <w:tr>
        <w:trPr>
          <w:trHeight w:val="191"/>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Johnny Lee</w:t>
            </w:r>
          </w:p>
        </w:tc>
      </w:tr>
      <w:tr>
        <w:trPr>
          <w:trHeight w:val="234"/>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28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Hopkins</w:t>
            </w:r>
          </w:p>
        </w:tc>
      </w:tr>
      <w:tr>
        <w:trPr>
          <w:trHeight w:val="191"/>
        </w:trPr>
        <w:tc>
          <w:tcPr>
            <w:tcW w:w="34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Lynn Hopkins</w:t>
            </w:r>
          </w:p>
        </w:tc>
      </w:tr>
      <w:tr>
        <w:trPr>
          <w:trHeight w:val="234"/>
        </w:trPr>
        <w:tc>
          <w:tcPr>
            <w:tcW w:w="34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864"/>
        </w:trPr>
        <w:tc>
          <w:tcPr>
            <w:tcW w:w="3440" w:type="dxa"/>
            <w:vAlign w:val="bottom"/>
          </w:tcPr>
          <w:p>
            <w:pPr>
              <w:spacing w:after="0"/>
              <w:rPr>
                <w:sz w:val="24"/>
                <w:szCs w:val="24"/>
                <w:color w:val="auto"/>
              </w:rPr>
            </w:pPr>
          </w:p>
        </w:tc>
        <w:tc>
          <w:tcPr>
            <w:tcW w:w="28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60</w:t>
            </w:r>
          </w:p>
        </w:tc>
        <w:tc>
          <w:tcPr>
            <w:tcW w:w="49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Johnny Lee, certify that:</w:t>
      </w:r>
    </w:p>
    <w:p>
      <w:pPr>
        <w:spacing w:after="0" w:line="225"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RBB Bancorp;</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980" w:hanging="486"/>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Johnny Lee</w:t>
            </w:r>
          </w:p>
        </w:tc>
      </w:tr>
      <w:tr>
        <w:trPr>
          <w:trHeight w:val="20"/>
        </w:trPr>
        <w:tc>
          <w:tcPr>
            <w:tcW w:w="3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91"/>
        </w:trPr>
        <w:tc>
          <w:tcPr>
            <w:tcW w:w="3780" w:type="dxa"/>
            <w:vAlign w:val="bottom"/>
          </w:tcPr>
          <w:p>
            <w:pPr>
              <w:spacing w:after="0"/>
              <w:rPr>
                <w:sz w:val="16"/>
                <w:szCs w:val="16"/>
                <w:color w:val="auto"/>
              </w:rPr>
            </w:pPr>
          </w:p>
        </w:tc>
        <w:tc>
          <w:tcPr>
            <w:tcW w:w="7460" w:type="dxa"/>
            <w:vAlign w:val="bottom"/>
            <w:gridSpan w:val="2"/>
          </w:tcPr>
          <w:p>
            <w:pPr>
              <w:ind w:left="2420"/>
              <w:spacing w:after="0" w:line="191" w:lineRule="exact"/>
              <w:rPr>
                <w:sz w:val="20"/>
                <w:szCs w:val="20"/>
                <w:color w:val="auto"/>
              </w:rPr>
            </w:pPr>
            <w:r>
              <w:rPr>
                <w:rFonts w:ascii="Times New Roman" w:cs="Times New Roman" w:eastAsia="Times New Roman" w:hAnsi="Times New Roman"/>
                <w:sz w:val="18"/>
                <w:szCs w:val="18"/>
                <w:color w:val="auto"/>
              </w:rPr>
              <w:t>Johnny Lee,</w:t>
            </w:r>
          </w:p>
        </w:tc>
      </w:tr>
      <w:tr>
        <w:trPr>
          <w:trHeight w:val="234"/>
        </w:trPr>
        <w:tc>
          <w:tcPr>
            <w:tcW w:w="3780" w:type="dxa"/>
            <w:vAlign w:val="bottom"/>
          </w:tcPr>
          <w:p>
            <w:pPr>
              <w:spacing w:after="0"/>
              <w:rPr>
                <w:sz w:val="20"/>
                <w:szCs w:val="20"/>
                <w:color w:val="auto"/>
              </w:rPr>
            </w:pP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33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 Hopkins, certify that:</w:t>
      </w:r>
    </w:p>
    <w:p>
      <w:pPr>
        <w:spacing w:after="0" w:line="225"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RBB Bancorp;</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980" w:hanging="486"/>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Lynn Hopkins</w:t>
            </w:r>
          </w:p>
        </w:tc>
      </w:tr>
      <w:tr>
        <w:trPr>
          <w:trHeight w:val="191"/>
        </w:trPr>
        <w:tc>
          <w:tcPr>
            <w:tcW w:w="3780" w:type="dxa"/>
            <w:vAlign w:val="bottom"/>
          </w:tcPr>
          <w:p>
            <w:pPr>
              <w:spacing w:after="0"/>
              <w:rPr>
                <w:sz w:val="16"/>
                <w:szCs w:val="16"/>
                <w:color w:val="auto"/>
              </w:rPr>
            </w:pPr>
          </w:p>
        </w:tc>
        <w:tc>
          <w:tcPr>
            <w:tcW w:w="27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w w:val="78"/>
              </w:rPr>
              <w:t>Lynn</w:t>
            </w:r>
          </w:p>
        </w:tc>
        <w:tc>
          <w:tcPr>
            <w:tcW w:w="47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Hopkins,</w:t>
            </w:r>
          </w:p>
        </w:tc>
      </w:tr>
      <w:tr>
        <w:trPr>
          <w:trHeight w:val="234"/>
        </w:trPr>
        <w:tc>
          <w:tcPr>
            <w:tcW w:w="3780" w:type="dxa"/>
            <w:vAlign w:val="bottom"/>
          </w:tcPr>
          <w:p>
            <w:pPr>
              <w:spacing w:after="0"/>
              <w:rPr>
                <w:sz w:val="20"/>
                <w:szCs w:val="20"/>
                <w:color w:val="auto"/>
              </w:rPr>
            </w:pP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RBB Bancorp (the “Company”) on Form 10-Q for the period ended March 31, 2026, as filed with the Securities and Exchange Commission on the date hereof (the “Report”), I, Johnny Lee, President and Chief Executive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Johnny Lee</w:t>
            </w:r>
          </w:p>
        </w:tc>
      </w:tr>
      <w:tr>
        <w:trPr>
          <w:trHeight w:val="20"/>
        </w:trPr>
        <w:tc>
          <w:tcPr>
            <w:tcW w:w="3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91"/>
        </w:trPr>
        <w:tc>
          <w:tcPr>
            <w:tcW w:w="3780" w:type="dxa"/>
            <w:vAlign w:val="bottom"/>
          </w:tcPr>
          <w:p>
            <w:pPr>
              <w:spacing w:after="0"/>
              <w:rPr>
                <w:sz w:val="16"/>
                <w:szCs w:val="16"/>
                <w:color w:val="auto"/>
              </w:rPr>
            </w:pPr>
          </w:p>
        </w:tc>
        <w:tc>
          <w:tcPr>
            <w:tcW w:w="7460" w:type="dxa"/>
            <w:vAlign w:val="bottom"/>
            <w:gridSpan w:val="2"/>
          </w:tcPr>
          <w:p>
            <w:pPr>
              <w:ind w:left="2420"/>
              <w:spacing w:after="0" w:line="191" w:lineRule="exact"/>
              <w:rPr>
                <w:sz w:val="20"/>
                <w:szCs w:val="20"/>
                <w:color w:val="auto"/>
              </w:rPr>
            </w:pPr>
            <w:r>
              <w:rPr>
                <w:rFonts w:ascii="Times New Roman" w:cs="Times New Roman" w:eastAsia="Times New Roman" w:hAnsi="Times New Roman"/>
                <w:sz w:val="18"/>
                <w:szCs w:val="18"/>
                <w:color w:val="auto"/>
              </w:rPr>
              <w:t>Johnny Lee,</w:t>
            </w:r>
          </w:p>
        </w:tc>
      </w:tr>
      <w:tr>
        <w:trPr>
          <w:trHeight w:val="234"/>
        </w:trPr>
        <w:tc>
          <w:tcPr>
            <w:tcW w:w="3780" w:type="dxa"/>
            <w:vAlign w:val="bottom"/>
          </w:tcPr>
          <w:p>
            <w:pPr>
              <w:spacing w:after="0"/>
              <w:rPr>
                <w:sz w:val="20"/>
                <w:szCs w:val="20"/>
                <w:color w:val="auto"/>
              </w:rPr>
            </w:pP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33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RBB Bancorp (the “Company”) on Form 10-Q for the period ended March 31, 2026, as filed with the Securities and Exchange Commission on the date hereof (the “Report”), I, Lynn Hopkins, Executive Vice President and Chief Financial Officer of the Company, certify, pursuant to 18 U.S.C. § 1350, as adopted pursuant to § 906 of the Sarbanes-Oxley Act of 2002, to the best of my knowledge that:</w:t>
      </w:r>
    </w:p>
    <w:p>
      <w:pPr>
        <w:spacing w:after="0" w:line="176"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By: /s/ Lynn Hopkins</w:t>
            </w:r>
          </w:p>
        </w:tc>
      </w:tr>
      <w:tr>
        <w:trPr>
          <w:trHeight w:val="191"/>
        </w:trPr>
        <w:tc>
          <w:tcPr>
            <w:tcW w:w="3780" w:type="dxa"/>
            <w:vAlign w:val="bottom"/>
          </w:tcPr>
          <w:p>
            <w:pPr>
              <w:spacing w:after="0"/>
              <w:rPr>
                <w:sz w:val="16"/>
                <w:szCs w:val="16"/>
                <w:color w:val="auto"/>
              </w:rPr>
            </w:pPr>
          </w:p>
        </w:tc>
        <w:tc>
          <w:tcPr>
            <w:tcW w:w="2740" w:type="dxa"/>
            <w:vAlign w:val="bottom"/>
          </w:tcPr>
          <w:p>
            <w:pPr>
              <w:ind w:left="2420"/>
              <w:spacing w:after="0" w:line="191" w:lineRule="exact"/>
              <w:rPr>
                <w:sz w:val="20"/>
                <w:szCs w:val="20"/>
                <w:color w:val="auto"/>
              </w:rPr>
            </w:pPr>
            <w:r>
              <w:rPr>
                <w:rFonts w:ascii="Times New Roman" w:cs="Times New Roman" w:eastAsia="Times New Roman" w:hAnsi="Times New Roman"/>
                <w:sz w:val="18"/>
                <w:szCs w:val="18"/>
                <w:color w:val="auto"/>
                <w:w w:val="78"/>
              </w:rPr>
              <w:t>Lynn</w:t>
            </w:r>
          </w:p>
        </w:tc>
        <w:tc>
          <w:tcPr>
            <w:tcW w:w="472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Hopkins,</w:t>
            </w:r>
          </w:p>
        </w:tc>
      </w:tr>
      <w:tr>
        <w:trPr>
          <w:trHeight w:val="234"/>
        </w:trPr>
        <w:tc>
          <w:tcPr>
            <w:tcW w:w="3780" w:type="dxa"/>
            <w:vAlign w:val="bottom"/>
          </w:tcPr>
          <w:p>
            <w:pPr>
              <w:spacing w:after="0"/>
              <w:rPr>
                <w:sz w:val="20"/>
                <w:szCs w:val="20"/>
                <w:color w:val="auto"/>
              </w:rPr>
            </w:pPr>
          </w:p>
        </w:tc>
        <w:tc>
          <w:tcPr>
            <w:tcW w:w="74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04"/>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95" Type="http://schemas.openxmlformats.org/officeDocument/2006/relationships/hyperlink" Target="http://www.sec.gov/Archives/edgar/data/1499422/000119312517216619/d375346dex31.htm" TargetMode="External"/><Relationship Id="rId96" Type="http://schemas.openxmlformats.org/officeDocument/2006/relationships/hyperlink" Target="http://www.sec.gov/Archives/edgar/data/1499422/000119312517216619/d375346dex32.htm" TargetMode="External"/><Relationship Id="rId97" Type="http://schemas.openxmlformats.org/officeDocument/2006/relationships/hyperlink" Target="http://www.sec.gov/Archives/edgar/data/1499422/000156459018029149/rbb-ex33_548.htm" TargetMode="External"/><Relationship Id="rId98" Type="http://schemas.openxmlformats.org/officeDocument/2006/relationships/hyperlink" Target="http://www.sec.gov/Archives/edgar/data/1499422/000119312517216619/d37534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2026-05-08T14:32:01Z</dcterms:created>
  <dcterms:modified xsi:type="dcterms:W3CDTF">2026-05-08T14:32:01Z</dcterms:modified>
</cp:coreProperties>
</file>