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-226060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-625475</wp:posOffset>
            </wp:positionV>
            <wp:extent cx="58420" cy="638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3978275</wp:posOffset>
            </wp:positionH>
            <wp:positionV relativeFrom="paragraph">
              <wp:posOffset>-625475</wp:posOffset>
            </wp:positionV>
            <wp:extent cx="58420" cy="638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742950</wp:posOffset>
            </wp:positionV>
            <wp:extent cx="6993890" cy="61106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6110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Yeh Jeffrey</w:t>
        </w:r>
      </w:hyperlink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1055 WILSHIRE BLVD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RBB Bancorp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RBB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 w:right="640" w:hanging="9"/>
        <w:spacing w:after="0" w:line="258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9"/>
        <w:spacing w:after="0"/>
        <w:tabs>
          <w:tab w:leader="none" w:pos="2088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9"/>
        <w:spacing w:after="0"/>
        <w:tabs>
          <w:tab w:leader="none" w:pos="2088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42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</w:t>
      </w:r>
    </w:p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1" w:space="720"/>
            <w:col w:w="3349"/>
          </w:cols>
          <w:pgMar w:left="460" w:top="217" w:right="35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</w:tcPr>
          <w:p>
            <w:pPr>
              <w:jc w:val="center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LOS ANGELES CA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90017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No Par Value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right"/>
              <w:ind w:right="3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1,465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24.05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60,499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No Par Value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right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526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24.05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59,973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jc w:val="center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40" w:type="dxa"/>
            <w:vAlign w:val="bottom"/>
            <w:gridSpan w:val="10"/>
          </w:tcPr>
          <w:p>
            <w:pPr>
              <w:jc w:val="center"/>
              <w:ind w:left="4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2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8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921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1,326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1,326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5,967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5,967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24.05</w:t>
            </w: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05/08/2026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1,465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4,394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2,929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6,589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6,589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-3046730</wp:posOffset>
            </wp:positionV>
            <wp:extent cx="29210" cy="30518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3051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There will be no expiration date once restricted stock units vest.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remaining restricted stock units vest on 02/21/2027.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remaining restricted stock units vest on 03/20/2027.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6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performance stock units ("PSUs") will vest conditionally on the achievement of certain performance goals and an employment condition. The reported PSUs will vest at the expiration of a three-year period beginning on 03/20/2024 subject to the Reporting Person's satisfaction of the employment condition.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remaining restricted stock units vest in two equal annual installments on 05/08/2027 and 05/08/2028.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2"/>
        <w:spacing w:after="0" w:line="241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Performance Stock Units ("PSUs") to vest conditionally on the achievement of certain performance goals and an employment condition. The PSUs are awarded at a target level and have the opportunity to vest at 150% of such target level; The reported PSUs represent the maximum award that may be achieved and ultimately vest. The reported PSUs will vest at the expiration of a three-year period beginning on 05/08/2025 subject to the Reporting Person's satisfaction of the employment condition.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issued for vesting of 5/08/2025 RSU grant and shares disposed in settlement of tax withholding obligations for such RSU vesting.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Jeffrey Yeh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05/08/2026</w:t>
            </w:r>
          </w:p>
        </w:tc>
      </w:tr>
      <w:tr>
        <w:trPr>
          <w:trHeight w:val="20"/>
        </w:trPr>
        <w:tc>
          <w:tcPr>
            <w:tcW w:w="6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193"/>
        </w:trPr>
        <w:tc>
          <w:tcPr>
            <w:tcW w:w="8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3"/>
        </w:trPr>
        <w:tc>
          <w:tcPr>
            <w:tcW w:w="8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11532" TargetMode="External"/><Relationship Id="rId14" Type="http://schemas.openxmlformats.org/officeDocument/2006/relationships/hyperlink" Target="http://www.sec.gov/cgi-bin/browse-edgar?action=getcompany&amp;CIK=00014994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2026-05-08T19:05:11Z</dcterms:created>
  <dcterms:modified xsi:type="dcterms:W3CDTF">2026-05-08T19:05:11Z</dcterms:modified>
</cp:coreProperties>
</file>