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rbb20260630_10q.htm"/>
      <w:bookmarkStart w:id="1" w:name="ksrbb20260630_10q"/>
      <w:bookmarkEnd w:id="0"/>
      <w:bookmarkEnd w:id="1"/>
      <w:r>
        <w:rPr>
          <w:caps w:val="false"/>
          <w:smallCaps w:val="false"/>
        </w:rPr>
        <w:t> </w:t>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36"/>
        </w:rPr>
      </w:pPr>
      <w:r>
        <w:rPr>
          <w:rFonts w:ascii="Times New Roman" w:hAnsi="Times New Roman"/>
          <w:b/>
          <w:caps w:val="false"/>
          <w:smallCaps w:val="false"/>
          <w:sz w:val="36"/>
        </w:rPr>
        <w:t>UNITED STATES</w:t>
      </w:r>
    </w:p>
    <w:p>
      <w:pPr>
        <w:pStyle w:val="TextBody"/>
        <w:bidi w:val="0"/>
        <w:spacing w:before="0" w:after="0"/>
        <w:ind w:left="160" w:right="0" w:hanging="0"/>
        <w:jc w:val="center"/>
        <w:rPr>
          <w:rFonts w:ascii="Times New Roman" w:hAnsi="Times New Roman"/>
          <w:b/>
          <w:caps w:val="false"/>
          <w:smallCaps w:val="false"/>
          <w:sz w:val="36"/>
        </w:rPr>
      </w:pPr>
      <w:r>
        <w:rPr>
          <w:rFonts w:ascii="Times New Roman" w:hAnsi="Times New Roman"/>
          <w:b/>
          <w:caps w:val="false"/>
          <w:smallCaps w:val="false"/>
          <w:sz w:val="36"/>
        </w:rPr>
        <w:t>SECURITIES AND EXCHANGE COMMISSION</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 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36"/>
        </w:rPr>
      </w:pPr>
      <w:r>
        <w:rPr>
          <w:rFonts w:ascii="Times New Roman" w:hAnsi="Times New Roman"/>
          <w:b/>
          <w:caps w:val="false"/>
          <w:smallCaps w:val="false"/>
          <w:sz w:val="36"/>
        </w:rPr>
        <w:t>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(Mark One)</w:t>
      </w:r>
    </w:p>
    <w:tbl>
      <w:tblPr>
        <w:tblW w:w="10105" w:type="dxa"/>
        <w:jc w:val="left"/>
        <w:tblInd w:w="0" w:type="dxa"/>
        <w:tblLayout w:type="fixed"/>
        <w:tblCellMar>
          <w:top w:w="0" w:type="dxa"/>
          <w:left w:w="0" w:type="dxa"/>
          <w:bottom w:w="0" w:type="dxa"/>
          <w:right w:w="0" w:type="dxa"/>
        </w:tblCellMar>
      </w:tblPr>
      <w:tblGrid>
        <w:gridCol w:w="230"/>
        <w:gridCol w:w="987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QUARTERLY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For the quarterly period ended June 30, 2026 or</w:t>
      </w:r>
    </w:p>
    <w:p>
      <w:pPr>
        <w:pStyle w:val="TextBody"/>
        <w:bidi w:val="0"/>
        <w:spacing w:before="0" w:after="0"/>
        <w:ind w:left="0" w:right="0" w:hanging="0"/>
        <w:jc w:val="left"/>
        <w:rPr>
          <w:caps w:val="false"/>
          <w:smallCaps w:val="false"/>
        </w:rPr>
      </w:pPr>
      <w:r>
        <w:rPr>
          <w:caps w:val="false"/>
          <w:smallCaps w:val="false"/>
        </w:rPr>
        <w:t> </w:t>
      </w:r>
    </w:p>
    <w:tbl>
      <w:tblPr>
        <w:tblW w:w="10090" w:type="dxa"/>
        <w:jc w:val="left"/>
        <w:tblInd w:w="0" w:type="dxa"/>
        <w:tblLayout w:type="fixed"/>
        <w:tblCellMar>
          <w:top w:w="0" w:type="dxa"/>
          <w:left w:w="0" w:type="dxa"/>
          <w:bottom w:w="0" w:type="dxa"/>
          <w:right w:w="0" w:type="dxa"/>
        </w:tblCellMar>
      </w:tblPr>
      <w:tblGrid>
        <w:gridCol w:w="230"/>
        <w:gridCol w:w="986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6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TRANSITION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For the transition period from ______ to 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Number: 001-38149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48"/>
        </w:rPr>
      </w:pPr>
      <w:r>
        <w:rPr>
          <w:rFonts w:ascii="Times New Roman" w:hAnsi="Times New Roman"/>
          <w:b/>
          <w:caps w:val="false"/>
          <w:smallCaps w:val="false"/>
          <w:sz w:val="48"/>
        </w:rPr>
        <w:t>RBB BANCORP</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905"/>
        <w:gridCol w:w="1025"/>
      </w:tblGrid>
      <w:tr>
        <w:trPr/>
        <w:tc>
          <w:tcPr>
            <w:tcW w:w="90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California</w:t>
            </w:r>
          </w:p>
        </w:tc>
        <w:tc>
          <w:tcPr>
            <w:tcW w:w="102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27-2776416</w:t>
            </w:r>
          </w:p>
        </w:tc>
      </w:tr>
    </w:tbl>
    <w:tbl>
      <w:tblPr>
        <w:tblW w:w="4195" w:type="dxa"/>
        <w:jc w:val="left"/>
        <w:tblInd w:w="0" w:type="dxa"/>
        <w:tblLayout w:type="fixed"/>
        <w:tblCellMar>
          <w:top w:w="0" w:type="dxa"/>
          <w:left w:w="0" w:type="dxa"/>
          <w:bottom w:w="0" w:type="dxa"/>
          <w:right w:w="0" w:type="dxa"/>
        </w:tblCellMar>
      </w:tblPr>
      <w:tblGrid>
        <w:gridCol w:w="2645"/>
        <w:gridCol w:w="1550"/>
      </w:tblGrid>
      <w:tr>
        <w:trPr/>
        <w:tc>
          <w:tcPr>
            <w:tcW w:w="26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(State or other jurisdiction of</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incorporation or organization)</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(I.R.S. Employer</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3280" w:type="dxa"/>
        <w:jc w:val="left"/>
        <w:tblInd w:w="0" w:type="dxa"/>
        <w:tblLayout w:type="fixed"/>
        <w:tblCellMar>
          <w:top w:w="0" w:type="dxa"/>
          <w:left w:w="0" w:type="dxa"/>
          <w:bottom w:w="0" w:type="dxa"/>
          <w:right w:w="0" w:type="dxa"/>
        </w:tblCellMar>
      </w:tblPr>
      <w:tblGrid>
        <w:gridCol w:w="2735"/>
        <w:gridCol w:w="545"/>
      </w:tblGrid>
      <w:tr>
        <w:trPr/>
        <w:tc>
          <w:tcPr>
            <w:tcW w:w="273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1055</w:t>
            </w:r>
            <w:r>
              <w:rPr>
                <w:rFonts w:ascii="Times New Roman" w:hAnsi="Times New Roman"/>
                <w:caps w:val="false"/>
                <w:smallCaps w:val="false"/>
                <w:sz w:val="20"/>
              </w:rPr>
              <w:t> </w:t>
            </w:r>
            <w:r>
              <w:rPr>
                <w:rFonts w:ascii="Times New Roman" w:hAnsi="Times New Roman"/>
                <w:b/>
                <w:caps w:val="false"/>
                <w:smallCaps w:val="false"/>
                <w:sz w:val="20"/>
              </w:rPr>
              <w:t>Wilshire Blvd., Suite 1200,</w:t>
            </w:r>
          </w:p>
        </w:tc>
        <w:tc>
          <w:tcPr>
            <w:tcW w:w="545"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Los Angeles, California</w:t>
            </w:r>
          </w:p>
        </w:tc>
        <w:tc>
          <w:tcPr>
            <w:tcW w:w="5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90017</w:t>
            </w:r>
          </w:p>
        </w:tc>
      </w:tr>
    </w:tbl>
    <w:tbl>
      <w:tblPr>
        <w:tblW w:w="4195" w:type="dxa"/>
        <w:jc w:val="left"/>
        <w:tblInd w:w="0" w:type="dxa"/>
        <w:tblLayout w:type="fixed"/>
        <w:tblCellMar>
          <w:top w:w="0" w:type="dxa"/>
          <w:left w:w="0" w:type="dxa"/>
          <w:bottom w:w="0" w:type="dxa"/>
          <w:right w:w="0" w:type="dxa"/>
        </w:tblCellMar>
      </w:tblPr>
      <w:tblGrid>
        <w:gridCol w:w="3275"/>
        <w:gridCol w:w="920"/>
      </w:tblGrid>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(Address of principal executive offices)</w:t>
            </w:r>
          </w:p>
        </w:tc>
        <w:tc>
          <w:tcPr>
            <w:tcW w:w="92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(213) 627-9888</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 (b) of the Act:</w:t>
      </w:r>
    </w:p>
    <w:p>
      <w:pPr>
        <w:pStyle w:val="TextBody"/>
        <w:bidi w:val="0"/>
        <w:spacing w:before="0" w:after="0"/>
        <w:ind w:left="0" w:right="0" w:hanging="0"/>
        <w:jc w:val="left"/>
        <w:rPr>
          <w:caps w:val="false"/>
          <w:smallCaps w:val="false"/>
        </w:rPr>
      </w:pPr>
      <w:r>
        <w:rPr>
          <w:caps w:val="false"/>
          <w:smallCaps w:val="false"/>
        </w:rPr>
        <w:t> </w:t>
      </w:r>
    </w:p>
    <w:tbl>
      <w:tblPr>
        <w:tblW w:w="7455" w:type="dxa"/>
        <w:jc w:val="left"/>
        <w:tblInd w:w="0" w:type="dxa"/>
        <w:tblLayout w:type="fixed"/>
        <w:tblCellMar>
          <w:top w:w="0" w:type="dxa"/>
          <w:left w:w="0" w:type="dxa"/>
          <w:bottom w:w="28" w:type="dxa"/>
          <w:right w:w="0" w:type="dxa"/>
        </w:tblCellMar>
      </w:tblPr>
      <w:tblGrid>
        <w:gridCol w:w="2450"/>
        <w:gridCol w:w="60"/>
        <w:gridCol w:w="1610"/>
        <w:gridCol w:w="60"/>
        <w:gridCol w:w="3275"/>
      </w:tblGrid>
      <w:tr>
        <w:trPr/>
        <w:tc>
          <w:tcPr>
            <w:tcW w:w="245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27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 of exchange on which registered</w:t>
            </w:r>
          </w:p>
        </w:tc>
      </w:tr>
      <w:tr>
        <w:trPr/>
        <w:tc>
          <w:tcPr>
            <w:tcW w:w="245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No Par Value</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RBB</w:t>
            </w:r>
          </w:p>
        </w:tc>
        <w:tc>
          <w:tcPr>
            <w:tcW w:w="60" w:type="dxa"/>
            <w:tcBorders/>
            <w:tcMar>
              <w:bottom w:w="0" w:type="dxa"/>
            </w:tcMar>
            <w:vAlign w:val="center"/>
          </w:tcPr>
          <w:p>
            <w:pPr>
              <w:pStyle w:val="TableContents"/>
              <w:bidi w:val="0"/>
              <w:spacing w:before="0" w:after="283"/>
              <w:jc w:val="left"/>
              <w:rPr/>
            </w:pPr>
            <w:r>
              <w:rPr/>
              <w:t> </w:t>
            </w:r>
          </w:p>
        </w:tc>
        <w:tc>
          <w:tcPr>
            <w:tcW w:w="327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    No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5090" w:type="dxa"/>
        <w:jc w:val="left"/>
        <w:tblInd w:w="0" w:type="dxa"/>
        <w:tblLayout w:type="fixed"/>
        <w:tblCellMar>
          <w:top w:w="0" w:type="dxa"/>
          <w:left w:w="0" w:type="dxa"/>
          <w:bottom w:w="0" w:type="dxa"/>
          <w:right w:w="0" w:type="dxa"/>
        </w:tblCellMar>
      </w:tblPr>
      <w:tblGrid>
        <w:gridCol w:w="2225"/>
        <w:gridCol w:w="60"/>
        <w:gridCol w:w="230"/>
        <w:gridCol w:w="60"/>
        <w:gridCol w:w="2225"/>
        <w:gridCol w:w="60"/>
        <w:gridCol w:w="230"/>
      </w:tblGrid>
      <w:tr>
        <w:trPr/>
        <w:tc>
          <w:tcPr>
            <w:tcW w:w="22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Large 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22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Smaller reporting company</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22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Emerging growth company</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Number of shares of common stock of the registrant: </w:t>
      </w:r>
      <w:r>
        <w:rPr>
          <w:rFonts w:ascii="Times New Roman" w:hAnsi="Times New Roman"/>
          <w:caps w:val="false"/>
          <w:smallCaps w:val="false"/>
          <w:sz w:val="20"/>
          <w:shd w:fill="FFFFFF" w:val="clear"/>
        </w:rPr>
        <w:t>16,915,964 </w:t>
      </w:r>
      <w:r>
        <w:rPr>
          <w:rFonts w:ascii="Times New Roman" w:hAnsi="Times New Roman"/>
          <w:caps w:val="false"/>
          <w:smallCaps w:val="false"/>
          <w:sz w:val="20"/>
        </w:rPr>
        <w:t>outstanding as of July 31</w:t>
      </w:r>
      <w:r>
        <w:rPr>
          <w:rFonts w:ascii="Times New Roman" w:hAnsi="Times New Roman"/>
          <w:caps w:val="false"/>
          <w:smallCaps w:val="false"/>
          <w:sz w:val="20"/>
          <w:shd w:fill="FFFFFF" w:val="clear"/>
        </w:rPr>
        <w:t>,</w:t>
      </w:r>
      <w:r>
        <w:rPr>
          <w:rFonts w:ascii="Times New Roman" w:hAnsi="Times New Roman"/>
          <w:caps w:val="false"/>
          <w:smallCaps w:val="false"/>
          <w:sz w:val="20"/>
        </w:rPr>
        <w:t> 2026.</w:t>
      </w:r>
    </w:p>
    <w:p>
      <w:pPr>
        <w:pStyle w:val="TextBody"/>
        <w:bidi w:val="0"/>
        <w:spacing w:before="0" w:after="0"/>
        <w:ind w:left="0" w:right="0" w:firstLine="72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160" w:right="0" w:hanging="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80"/>
        <w:gridCol w:w="8680"/>
        <w:gridCol w:w="245"/>
      </w:tblGrid>
      <w:tr>
        <w:trPr/>
        <w:tc>
          <w:tcPr>
            <w:tcW w:w="9960" w:type="dxa"/>
            <w:gridSpan w:val="2"/>
            <w:tcBorders/>
            <w:vAlign w:val="center"/>
          </w:tcPr>
          <w:p>
            <w:pPr>
              <w:pStyle w:val="TableContents"/>
              <w:bidi w:val="0"/>
              <w:spacing w:before="0" w:after="0"/>
              <w:ind w:left="0" w:right="0" w:hanging="0"/>
              <w:jc w:val="left"/>
              <w:rPr/>
            </w:pPr>
            <w:hyperlink w:anchor="Part_1">
              <w:r>
                <w:rPr>
                  <w:rStyle w:val="InternetLink"/>
                  <w:rFonts w:ascii="Times New Roman;Times;serif" w:hAnsi="Times New Roman;Times;serif"/>
                  <w:b/>
                  <w:caps w:val="false"/>
                  <w:smallCaps w:val="false"/>
                  <w:sz w:val="20"/>
                  <w:u w:val="single"/>
                </w:rPr>
                <w:t xml:space="preserve">PART I </w:t>
              </w:r>
            </w:hyperlink>
            <w:hyperlink w:anchor="Part_1">
              <w:r>
                <w:rPr>
                  <w:rStyle w:val="InternetLink"/>
                  <w:rFonts w:ascii="Times New Roman;Times;serif" w:hAnsi="Times New Roman;Times;serif"/>
                  <w:caps w:val="false"/>
                  <w:smallCaps w:val="false"/>
                  <w:sz w:val="20"/>
                </w:rPr>
                <w:t>–</w:t>
              </w:r>
            </w:hyperlink>
            <w:hyperlink w:anchor="Part_1">
              <w:r>
                <w:rPr>
                  <w:rStyle w:val="InternetLink"/>
                  <w:rFonts w:ascii="Times New Roman;Times;serif" w:hAnsi="Times New Roman;Times;serif"/>
                  <w:caps w:val="false"/>
                  <w:smallCaps w:val="false"/>
                  <w:sz w:val="20"/>
                  <w:u w:val="single"/>
                </w:rPr>
                <w:t> </w:t>
              </w:r>
            </w:hyperlink>
            <w:hyperlink w:anchor="Part_1">
              <w:r>
                <w:rPr>
                  <w:rStyle w:val="InternetLink"/>
                  <w:rFonts w:ascii="Times New Roman;Times;serif" w:hAnsi="Times New Roman;Times;serif"/>
                  <w:b/>
                  <w:caps w:val="false"/>
                  <w:smallCaps w:val="false"/>
                  <w:sz w:val="20"/>
                  <w:u w:val="single"/>
                </w:rPr>
                <w:t>FINANCIAL INFORMATION</w:t>
              </w:r>
            </w:hyperlink>
          </w:p>
        </w:tc>
        <w:tc>
          <w:tcPr>
            <w:tcW w:w="245" w:type="dxa"/>
            <w:tcBorders/>
            <w:vAlign w:val="center"/>
          </w:tcPr>
          <w:p>
            <w:pPr>
              <w:pStyle w:val="TableContents"/>
              <w:bidi w:val="0"/>
              <w:spacing w:before="0" w:after="0"/>
              <w:ind w:left="0" w:right="0" w:hanging="0"/>
              <w:jc w:val="right"/>
              <w:rPr/>
            </w:pPr>
            <w:hyperlink w:anchor="Item1_Fin">
              <w:r>
                <w:rPr>
                  <w:rStyle w:val="InternetLink"/>
                  <w:rFonts w:ascii="Times New Roman;Times;serif" w:hAnsi="Times New Roman;Times;serif"/>
                  <w:caps w:val="false"/>
                  <w:smallCaps w:val="false"/>
                  <w:sz w:val="20"/>
                </w:rPr>
                <w:t>3</w:t>
              </w:r>
            </w:hyperlink>
          </w:p>
        </w:tc>
      </w:tr>
      <w:tr>
        <w:trPr/>
        <w:tc>
          <w:tcPr>
            <w:tcW w:w="1280" w:type="dxa"/>
            <w:tcBorders/>
            <w:vAlign w:val="center"/>
          </w:tcPr>
          <w:p>
            <w:pPr>
              <w:pStyle w:val="TableContents"/>
              <w:bidi w:val="0"/>
              <w:spacing w:before="0" w:after="0"/>
              <w:ind w:left="240" w:right="0" w:hanging="0"/>
              <w:jc w:val="left"/>
              <w:rPr/>
            </w:pPr>
            <w:hyperlink w:anchor="Item1_Fin">
              <w:r>
                <w:rPr>
                  <w:rStyle w:val="InternetLink"/>
                  <w:rFonts w:ascii="Times New Roman;Times;serif" w:hAnsi="Times New Roman;Times;serif"/>
                  <w:b/>
                  <w:caps w:val="false"/>
                  <w:smallCaps w:val="false"/>
                  <w:sz w:val="20"/>
                  <w:u w:val="single"/>
                </w:rPr>
                <w:t>ITEM 1.</w:t>
              </w:r>
            </w:hyperlink>
          </w:p>
        </w:tc>
        <w:tc>
          <w:tcPr>
            <w:tcW w:w="8680" w:type="dxa"/>
            <w:tcBorders/>
            <w:vAlign w:val="center"/>
          </w:tcPr>
          <w:p>
            <w:pPr>
              <w:pStyle w:val="TableContents"/>
              <w:bidi w:val="0"/>
              <w:spacing w:before="0" w:after="0"/>
              <w:ind w:left="0" w:right="0" w:hanging="0"/>
              <w:jc w:val="left"/>
              <w:rPr/>
            </w:pPr>
            <w:hyperlink w:anchor="Item1_Fin">
              <w:r>
                <w:rPr>
                  <w:rStyle w:val="InternetLink"/>
                  <w:rFonts w:ascii="Times New Roman;Times;serif" w:hAnsi="Times New Roman;Times;serif"/>
                  <w:b/>
                  <w:caps w:val="false"/>
                  <w:smallCaps w:val="false"/>
                  <w:sz w:val="20"/>
                  <w:u w:val="single"/>
                </w:rPr>
                <w:t>CONSOLIDATED FINANCIAL STATEMENTS (UNAUDITED)</w:t>
              </w:r>
            </w:hyperlink>
          </w:p>
        </w:tc>
        <w:tc>
          <w:tcPr>
            <w:tcW w:w="245" w:type="dxa"/>
            <w:tcBorders/>
            <w:vAlign w:val="center"/>
          </w:tcPr>
          <w:p>
            <w:pPr>
              <w:pStyle w:val="TableContents"/>
              <w:bidi w:val="0"/>
              <w:spacing w:before="0" w:after="0"/>
              <w:ind w:left="0" w:right="0" w:hanging="0"/>
              <w:jc w:val="right"/>
              <w:rPr/>
            </w:pPr>
            <w:hyperlink w:anchor="Item1_Fin">
              <w:r>
                <w:rPr>
                  <w:rStyle w:val="InternetLink"/>
                  <w:rFonts w:ascii="Times New Roman" w:hAnsi="Times New Roman"/>
                  <w:b w:val="false"/>
                  <w:i w:val="false"/>
                  <w:caps w:val="false"/>
                  <w:smallCaps w:val="false"/>
                  <w:sz w:val="20"/>
                  <w:u w:val="single"/>
                </w:rPr>
                <w:t>3</w:t>
              </w:r>
            </w:hyperlink>
          </w:p>
        </w:tc>
      </w:tr>
      <w:tr>
        <w:trPr/>
        <w:tc>
          <w:tcPr>
            <w:tcW w:w="1280" w:type="dxa"/>
            <w:tcBorders/>
            <w:vAlign w:val="center"/>
          </w:tcPr>
          <w:p>
            <w:pPr>
              <w:pStyle w:val="TableContents"/>
              <w:bidi w:val="0"/>
              <w:spacing w:before="0" w:after="283"/>
              <w:jc w:val="left"/>
              <w:rPr/>
            </w:pPr>
            <w:r>
              <w:rPr/>
              <w:t> </w:t>
            </w:r>
          </w:p>
        </w:tc>
        <w:tc>
          <w:tcPr>
            <w:tcW w:w="8680" w:type="dxa"/>
            <w:tcBorders/>
            <w:vAlign w:val="center"/>
          </w:tcPr>
          <w:p>
            <w:pPr>
              <w:pStyle w:val="TableContents"/>
              <w:bidi w:val="0"/>
              <w:spacing w:before="0" w:after="0"/>
              <w:ind w:left="0" w:right="0" w:hanging="0"/>
              <w:jc w:val="left"/>
              <w:rPr/>
            </w:pPr>
            <w:hyperlink w:anchor="Notes">
              <w:r>
                <w:rPr>
                  <w:rStyle w:val="InternetLink"/>
                  <w:rFonts w:ascii="Times New Roman;Times;serif" w:hAnsi="Times New Roman;Times;serif"/>
                  <w:b/>
                  <w:caps w:val="false"/>
                  <w:smallCaps w:val="false"/>
                  <w:sz w:val="20"/>
                  <w:u w:val="single"/>
                </w:rPr>
                <w:t>NOTES TO CONSOLIDATED FINANCIAL STATEMENTS (UNAUDITED)</w:t>
              </w:r>
            </w:hyperlink>
          </w:p>
        </w:tc>
        <w:tc>
          <w:tcPr>
            <w:tcW w:w="245" w:type="dxa"/>
            <w:tcBorders/>
            <w:vAlign w:val="center"/>
          </w:tcPr>
          <w:p>
            <w:pPr>
              <w:pStyle w:val="TableContents"/>
              <w:bidi w:val="0"/>
              <w:spacing w:before="0" w:after="0"/>
              <w:ind w:left="0" w:right="0" w:hanging="0"/>
              <w:jc w:val="right"/>
              <w:rPr/>
            </w:pPr>
            <w:hyperlink w:anchor="Notes">
              <w:r>
                <w:rPr>
                  <w:rStyle w:val="InternetLink"/>
                  <w:rFonts w:ascii="Times New Roman" w:hAnsi="Times New Roman"/>
                  <w:b w:val="false"/>
                  <w:i w:val="false"/>
                  <w:caps w:val="false"/>
                  <w:smallCaps w:val="false"/>
                  <w:sz w:val="20"/>
                  <w:u w:val="single"/>
                </w:rPr>
                <w:t>8</w:t>
              </w:r>
            </w:hyperlink>
          </w:p>
        </w:tc>
      </w:tr>
      <w:tr>
        <w:trPr/>
        <w:tc>
          <w:tcPr>
            <w:tcW w:w="1280" w:type="dxa"/>
            <w:tcBorders/>
            <w:vAlign w:val="center"/>
          </w:tcPr>
          <w:p>
            <w:pPr>
              <w:pStyle w:val="TableContents"/>
              <w:bidi w:val="0"/>
              <w:spacing w:before="0" w:after="0"/>
              <w:ind w:left="240" w:right="0" w:hanging="0"/>
              <w:jc w:val="left"/>
              <w:rPr/>
            </w:pPr>
            <w:hyperlink w:anchor="Item2_MDA">
              <w:r>
                <w:rPr>
                  <w:rStyle w:val="InternetLink"/>
                  <w:rFonts w:ascii="Times New Roman;Times;serif" w:hAnsi="Times New Roman;Times;serif"/>
                  <w:b/>
                  <w:caps w:val="false"/>
                  <w:smallCaps w:val="false"/>
                  <w:sz w:val="20"/>
                  <w:u w:val="single"/>
                </w:rPr>
                <w:t>ITEM 2.</w:t>
              </w:r>
            </w:hyperlink>
          </w:p>
        </w:tc>
        <w:tc>
          <w:tcPr>
            <w:tcW w:w="8680" w:type="dxa"/>
            <w:tcBorders/>
            <w:vAlign w:val="center"/>
          </w:tcPr>
          <w:p>
            <w:pPr>
              <w:pStyle w:val="TableContents"/>
              <w:bidi w:val="0"/>
              <w:spacing w:before="0" w:after="0"/>
              <w:ind w:left="0" w:right="0" w:hanging="0"/>
              <w:jc w:val="left"/>
              <w:rPr/>
            </w:pPr>
            <w:hyperlink w:anchor="Item2_MDA">
              <w:r>
                <w:rPr>
                  <w:rStyle w:val="InternetLink"/>
                  <w:rFonts w:ascii="Times New Roman;Times;serif" w:hAnsi="Times New Roman;Times;serif"/>
                  <w:b/>
                  <w:caps w:val="false"/>
                  <w:smallCaps w:val="false"/>
                  <w:sz w:val="20"/>
                  <w:u w:val="single"/>
                </w:rPr>
                <w:t>MANAGEMENT</w:t>
              </w:r>
            </w:hyperlink>
            <w:hyperlink w:anchor="Item2_MDA">
              <w:r>
                <w:rPr>
                  <w:rStyle w:val="InternetLink"/>
                  <w:rFonts w:ascii="Times New Roman;Times;serif" w:hAnsi="Times New Roman;Times;serif"/>
                  <w:caps w:val="false"/>
                  <w:smallCaps w:val="false"/>
                  <w:sz w:val="20"/>
                </w:rPr>
                <w:t>’</w:t>
              </w:r>
            </w:hyperlink>
            <w:hyperlink w:anchor="Item2_MDA">
              <w:r>
                <w:rPr>
                  <w:rStyle w:val="InternetLink"/>
                  <w:rFonts w:ascii="Times New Roman;Times;serif" w:hAnsi="Times New Roman;Times;serif"/>
                  <w:b/>
                  <w:caps w:val="false"/>
                  <w:smallCaps w:val="false"/>
                  <w:sz w:val="20"/>
                  <w:u w:val="single"/>
                </w:rPr>
                <w:t>S DISCUSSION AND ANALYSIS OF FINANCIAL CONDITION AND RESULTS OF OPERATIONS</w:t>
              </w:r>
            </w:hyperlink>
          </w:p>
        </w:tc>
        <w:tc>
          <w:tcPr>
            <w:tcW w:w="245" w:type="dxa"/>
            <w:tcBorders/>
            <w:vAlign w:val="center"/>
          </w:tcPr>
          <w:p>
            <w:pPr>
              <w:pStyle w:val="TableContents"/>
              <w:bidi w:val="0"/>
              <w:spacing w:before="0" w:after="0"/>
              <w:ind w:left="0" w:right="0" w:hanging="0"/>
              <w:jc w:val="right"/>
              <w:rPr/>
            </w:pPr>
            <w:hyperlink w:anchor="Item2_MDA">
              <w:r>
                <w:rPr>
                  <w:rStyle w:val="InternetLink"/>
                  <w:rFonts w:ascii="Times New Roman" w:hAnsi="Times New Roman"/>
                  <w:b w:val="false"/>
                  <w:i w:val="false"/>
                  <w:caps w:val="false"/>
                  <w:smallCaps w:val="false"/>
                  <w:sz w:val="20"/>
                  <w:u w:val="single"/>
                </w:rPr>
                <w:t>31</w:t>
              </w:r>
            </w:hyperlink>
          </w:p>
        </w:tc>
      </w:tr>
      <w:tr>
        <w:trPr/>
        <w:tc>
          <w:tcPr>
            <w:tcW w:w="1280" w:type="dxa"/>
            <w:tcBorders/>
            <w:vAlign w:val="center"/>
          </w:tcPr>
          <w:p>
            <w:pPr>
              <w:pStyle w:val="TableContents"/>
              <w:bidi w:val="0"/>
              <w:spacing w:before="0" w:after="283"/>
              <w:jc w:val="left"/>
              <w:rPr/>
            </w:pPr>
            <w:r>
              <w:rPr/>
              <w:t> </w:t>
            </w:r>
          </w:p>
        </w:tc>
        <w:tc>
          <w:tcPr>
            <w:tcW w:w="8680" w:type="dxa"/>
            <w:tcBorders/>
            <w:vAlign w:val="center"/>
          </w:tcPr>
          <w:p>
            <w:pPr>
              <w:pStyle w:val="TableContents"/>
              <w:bidi w:val="0"/>
              <w:spacing w:before="0" w:after="0"/>
              <w:ind w:left="0" w:right="0" w:hanging="0"/>
              <w:jc w:val="left"/>
              <w:rPr/>
            </w:pPr>
            <w:hyperlink w:anchor="Critical">
              <w:r>
                <w:rPr>
                  <w:rStyle w:val="InternetLink"/>
                  <w:rFonts w:ascii="Times New Roman;Times;serif" w:hAnsi="Times New Roman;Times;serif"/>
                  <w:b/>
                  <w:caps w:val="false"/>
                  <w:smallCaps w:val="false"/>
                  <w:sz w:val="20"/>
                  <w:u w:val="single"/>
                </w:rPr>
                <w:t>CRITICAL ACCOUNTING POLICIES</w:t>
              </w:r>
            </w:hyperlink>
          </w:p>
        </w:tc>
        <w:tc>
          <w:tcPr>
            <w:tcW w:w="245" w:type="dxa"/>
            <w:tcBorders/>
            <w:vAlign w:val="center"/>
          </w:tcPr>
          <w:p>
            <w:pPr>
              <w:pStyle w:val="TableContents"/>
              <w:bidi w:val="0"/>
              <w:spacing w:before="0" w:after="0"/>
              <w:ind w:left="0" w:right="0" w:hanging="0"/>
              <w:jc w:val="right"/>
              <w:rPr/>
            </w:pPr>
            <w:hyperlink w:anchor="Critical">
              <w:r>
                <w:rPr>
                  <w:rStyle w:val="InternetLink"/>
                  <w:rFonts w:ascii="Times New Roman" w:hAnsi="Times New Roman"/>
                  <w:b w:val="false"/>
                  <w:i w:val="false"/>
                  <w:caps w:val="false"/>
                  <w:smallCaps w:val="false"/>
                  <w:sz w:val="20"/>
                  <w:u w:val="single"/>
                </w:rPr>
                <w:t>32</w:t>
              </w:r>
            </w:hyperlink>
          </w:p>
        </w:tc>
      </w:tr>
      <w:tr>
        <w:trPr/>
        <w:tc>
          <w:tcPr>
            <w:tcW w:w="1280" w:type="dxa"/>
            <w:tcBorders/>
            <w:vAlign w:val="center"/>
          </w:tcPr>
          <w:p>
            <w:pPr>
              <w:pStyle w:val="TableContents"/>
              <w:bidi w:val="0"/>
              <w:spacing w:before="0" w:after="283"/>
              <w:jc w:val="left"/>
              <w:rPr/>
            </w:pPr>
            <w:r>
              <w:rPr/>
              <w:t> </w:t>
            </w:r>
          </w:p>
        </w:tc>
        <w:tc>
          <w:tcPr>
            <w:tcW w:w="8680" w:type="dxa"/>
            <w:tcBorders/>
            <w:vAlign w:val="center"/>
          </w:tcPr>
          <w:p>
            <w:pPr>
              <w:pStyle w:val="TableContents"/>
              <w:bidi w:val="0"/>
              <w:spacing w:before="0" w:after="0"/>
              <w:ind w:left="0" w:right="0" w:hanging="0"/>
              <w:jc w:val="left"/>
              <w:rPr/>
            </w:pPr>
            <w:hyperlink w:anchor="Overview">
              <w:r>
                <w:rPr>
                  <w:rStyle w:val="InternetLink"/>
                  <w:rFonts w:ascii="Times New Roman;Times;serif" w:hAnsi="Times New Roman;Times;serif"/>
                  <w:b/>
                  <w:caps w:val="false"/>
                  <w:smallCaps w:val="false"/>
                  <w:sz w:val="20"/>
                  <w:u w:val="single"/>
                </w:rPr>
                <w:t>OVERVIEW</w:t>
              </w:r>
            </w:hyperlink>
          </w:p>
        </w:tc>
        <w:tc>
          <w:tcPr>
            <w:tcW w:w="245" w:type="dxa"/>
            <w:tcBorders/>
            <w:vAlign w:val="center"/>
          </w:tcPr>
          <w:p>
            <w:pPr>
              <w:pStyle w:val="TableContents"/>
              <w:bidi w:val="0"/>
              <w:spacing w:before="0" w:after="0"/>
              <w:ind w:left="0" w:right="0" w:hanging="0"/>
              <w:jc w:val="right"/>
              <w:rPr/>
            </w:pPr>
            <w:hyperlink w:anchor="Overview">
              <w:r>
                <w:rPr>
                  <w:rStyle w:val="InternetLink"/>
                  <w:rFonts w:ascii="Times New Roman" w:hAnsi="Times New Roman"/>
                  <w:b w:val="false"/>
                  <w:i w:val="false"/>
                  <w:caps w:val="false"/>
                  <w:smallCaps w:val="false"/>
                  <w:sz w:val="20"/>
                </w:rPr>
                <w:t>33</w:t>
              </w:r>
            </w:hyperlink>
          </w:p>
        </w:tc>
      </w:tr>
      <w:tr>
        <w:trPr/>
        <w:tc>
          <w:tcPr>
            <w:tcW w:w="1280" w:type="dxa"/>
            <w:tcBorders/>
            <w:vAlign w:val="center"/>
          </w:tcPr>
          <w:p>
            <w:pPr>
              <w:pStyle w:val="TableContents"/>
              <w:bidi w:val="0"/>
              <w:spacing w:before="0" w:after="283"/>
              <w:jc w:val="left"/>
              <w:rPr/>
            </w:pPr>
            <w:r>
              <w:rPr/>
              <w:t> </w:t>
            </w:r>
          </w:p>
        </w:tc>
        <w:tc>
          <w:tcPr>
            <w:tcW w:w="8680" w:type="dxa"/>
            <w:tcBorders/>
            <w:vAlign w:val="center"/>
          </w:tcPr>
          <w:p>
            <w:pPr>
              <w:pStyle w:val="TableContents"/>
              <w:bidi w:val="0"/>
              <w:spacing w:before="0" w:after="0"/>
              <w:ind w:left="0" w:right="0" w:hanging="0"/>
              <w:jc w:val="left"/>
              <w:rPr/>
            </w:pPr>
            <w:hyperlink w:anchor="ANALYSIS_OF_RESULTS">
              <w:r>
                <w:rPr>
                  <w:rStyle w:val="InternetLink"/>
                  <w:rFonts w:ascii="Times New Roman;Times;serif" w:hAnsi="Times New Roman;Times;serif"/>
                  <w:b/>
                  <w:caps w:val="false"/>
                  <w:smallCaps w:val="false"/>
                  <w:sz w:val="20"/>
                  <w:u w:val="single"/>
                </w:rPr>
                <w:t>ANALYSIS OF RESULTS OF OPERATIONS</w:t>
              </w:r>
            </w:hyperlink>
          </w:p>
        </w:tc>
        <w:tc>
          <w:tcPr>
            <w:tcW w:w="245" w:type="dxa"/>
            <w:tcBorders/>
            <w:vAlign w:val="center"/>
          </w:tcPr>
          <w:p>
            <w:pPr>
              <w:pStyle w:val="TableContents"/>
              <w:bidi w:val="0"/>
              <w:spacing w:before="0" w:after="0"/>
              <w:ind w:left="0" w:right="0" w:hanging="0"/>
              <w:jc w:val="right"/>
              <w:rPr/>
            </w:pPr>
            <w:hyperlink w:anchor="ANALYSIS_OF_RESULTS">
              <w:r>
                <w:rPr>
                  <w:rStyle w:val="InternetLink"/>
                  <w:rFonts w:ascii="Times New Roman" w:hAnsi="Times New Roman"/>
                  <w:b w:val="false"/>
                  <w:i w:val="false"/>
                  <w:caps w:val="false"/>
                  <w:smallCaps w:val="false"/>
                  <w:sz w:val="20"/>
                  <w:u w:val="single"/>
                </w:rPr>
                <w:t>34</w:t>
              </w:r>
            </w:hyperlink>
          </w:p>
        </w:tc>
      </w:tr>
      <w:tr>
        <w:trPr/>
        <w:tc>
          <w:tcPr>
            <w:tcW w:w="1280" w:type="dxa"/>
            <w:tcBorders/>
            <w:vAlign w:val="center"/>
          </w:tcPr>
          <w:p>
            <w:pPr>
              <w:pStyle w:val="TableContents"/>
              <w:bidi w:val="0"/>
              <w:spacing w:before="0" w:after="283"/>
              <w:jc w:val="left"/>
              <w:rPr/>
            </w:pPr>
            <w:r>
              <w:rPr/>
              <w:t> </w:t>
            </w:r>
          </w:p>
        </w:tc>
        <w:tc>
          <w:tcPr>
            <w:tcW w:w="8680" w:type="dxa"/>
            <w:tcBorders/>
            <w:vAlign w:val="center"/>
          </w:tcPr>
          <w:p>
            <w:pPr>
              <w:pStyle w:val="TableContents"/>
              <w:bidi w:val="0"/>
              <w:spacing w:before="0" w:after="0"/>
              <w:ind w:left="0" w:right="0" w:hanging="0"/>
              <w:jc w:val="left"/>
              <w:rPr/>
            </w:pPr>
            <w:hyperlink w:anchor="ANALYSIS_OF_FINANCIAL">
              <w:r>
                <w:rPr>
                  <w:rStyle w:val="InternetLink"/>
                  <w:rFonts w:ascii="Times New Roman;Times;serif" w:hAnsi="Times New Roman;Times;serif"/>
                  <w:b/>
                  <w:caps w:val="false"/>
                  <w:smallCaps w:val="false"/>
                  <w:sz w:val="20"/>
                  <w:u w:val="single"/>
                </w:rPr>
                <w:t>ANALYSIS OF FINANCIAL CONDITION</w:t>
              </w:r>
            </w:hyperlink>
          </w:p>
        </w:tc>
        <w:tc>
          <w:tcPr>
            <w:tcW w:w="245" w:type="dxa"/>
            <w:tcBorders/>
            <w:vAlign w:val="center"/>
          </w:tcPr>
          <w:p>
            <w:pPr>
              <w:pStyle w:val="TableContents"/>
              <w:bidi w:val="0"/>
              <w:spacing w:before="0" w:after="0"/>
              <w:ind w:left="0" w:right="0" w:hanging="0"/>
              <w:jc w:val="right"/>
              <w:rPr/>
            </w:pPr>
            <w:hyperlink w:anchor="ANALYSIS_OF_FINANCIAL">
              <w:r>
                <w:rPr>
                  <w:rStyle w:val="InternetLink"/>
                  <w:rFonts w:ascii="Times New Roman" w:hAnsi="Times New Roman"/>
                  <w:b w:val="false"/>
                  <w:i w:val="false"/>
                  <w:caps w:val="false"/>
                  <w:smallCaps w:val="false"/>
                  <w:sz w:val="20"/>
                  <w:u w:val="single"/>
                </w:rPr>
                <w:t>42</w:t>
              </w:r>
            </w:hyperlink>
          </w:p>
        </w:tc>
      </w:tr>
      <w:tr>
        <w:trPr/>
        <w:tc>
          <w:tcPr>
            <w:tcW w:w="1280" w:type="dxa"/>
            <w:tcBorders/>
            <w:vAlign w:val="center"/>
          </w:tcPr>
          <w:p>
            <w:pPr>
              <w:pStyle w:val="TableContents"/>
              <w:bidi w:val="0"/>
              <w:spacing w:before="0" w:after="0"/>
              <w:ind w:left="240" w:right="0" w:hanging="0"/>
              <w:jc w:val="left"/>
              <w:rPr/>
            </w:pPr>
            <w:hyperlink w:anchor="Item3_QQ">
              <w:r>
                <w:rPr>
                  <w:rStyle w:val="InternetLink"/>
                  <w:rFonts w:ascii="Times New Roman;Times;serif" w:hAnsi="Times New Roman;Times;serif"/>
                  <w:b/>
                  <w:caps w:val="false"/>
                  <w:smallCaps w:val="false"/>
                  <w:sz w:val="20"/>
                  <w:u w:val="single"/>
                </w:rPr>
                <w:t>ITEM 3.</w:t>
              </w:r>
            </w:hyperlink>
          </w:p>
        </w:tc>
        <w:tc>
          <w:tcPr>
            <w:tcW w:w="8680" w:type="dxa"/>
            <w:tcBorders/>
            <w:vAlign w:val="center"/>
          </w:tcPr>
          <w:p>
            <w:pPr>
              <w:pStyle w:val="TableContents"/>
              <w:bidi w:val="0"/>
              <w:spacing w:before="0" w:after="0"/>
              <w:ind w:left="0" w:right="0" w:hanging="0"/>
              <w:jc w:val="left"/>
              <w:rPr/>
            </w:pPr>
            <w:hyperlink w:anchor="Item3_QQ">
              <w:r>
                <w:rPr>
                  <w:rStyle w:val="InternetLink"/>
                  <w:rFonts w:ascii="Times New Roman;Times;serif" w:hAnsi="Times New Roman;Times;serif"/>
                  <w:b/>
                  <w:caps w:val="false"/>
                  <w:smallCaps w:val="false"/>
                  <w:sz w:val="20"/>
                  <w:u w:val="single"/>
                </w:rPr>
                <w:t>QUANTITATIVE AND QUALITATIVE DISCLOSURES ABOUT MARKET RISK</w:t>
              </w:r>
            </w:hyperlink>
          </w:p>
        </w:tc>
        <w:tc>
          <w:tcPr>
            <w:tcW w:w="245" w:type="dxa"/>
            <w:tcBorders/>
            <w:vAlign w:val="center"/>
          </w:tcPr>
          <w:p>
            <w:pPr>
              <w:pStyle w:val="TableContents"/>
              <w:bidi w:val="0"/>
              <w:spacing w:before="0" w:after="0"/>
              <w:ind w:left="0" w:right="0" w:hanging="0"/>
              <w:jc w:val="right"/>
              <w:rPr/>
            </w:pPr>
            <w:hyperlink w:anchor="Item3_QQ">
              <w:r>
                <w:rPr>
                  <w:rStyle w:val="InternetLink"/>
                  <w:rFonts w:ascii="Times New Roman" w:hAnsi="Times New Roman"/>
                  <w:b w:val="false"/>
                  <w:i w:val="false"/>
                  <w:caps w:val="false"/>
                  <w:smallCaps w:val="false"/>
                  <w:sz w:val="20"/>
                  <w:u w:val="single"/>
                </w:rPr>
                <w:t>57</w:t>
              </w:r>
            </w:hyperlink>
          </w:p>
        </w:tc>
      </w:tr>
      <w:tr>
        <w:trPr/>
        <w:tc>
          <w:tcPr>
            <w:tcW w:w="1280" w:type="dxa"/>
            <w:tcBorders/>
            <w:vAlign w:val="center"/>
          </w:tcPr>
          <w:p>
            <w:pPr>
              <w:pStyle w:val="TableContents"/>
              <w:bidi w:val="0"/>
              <w:spacing w:before="0" w:after="0"/>
              <w:ind w:left="240" w:right="0" w:hanging="0"/>
              <w:jc w:val="left"/>
              <w:rPr/>
            </w:pPr>
            <w:hyperlink w:anchor="Item4_Controls">
              <w:r>
                <w:rPr>
                  <w:rStyle w:val="InternetLink"/>
                  <w:rFonts w:ascii="Times New Roman;Times;serif" w:hAnsi="Times New Roman;Times;serif"/>
                  <w:b/>
                  <w:caps w:val="false"/>
                  <w:smallCaps w:val="false"/>
                  <w:sz w:val="20"/>
                  <w:u w:val="single"/>
                </w:rPr>
                <w:t>ITEM 4.</w:t>
              </w:r>
            </w:hyperlink>
          </w:p>
        </w:tc>
        <w:tc>
          <w:tcPr>
            <w:tcW w:w="8680" w:type="dxa"/>
            <w:tcBorders/>
            <w:vAlign w:val="center"/>
          </w:tcPr>
          <w:p>
            <w:pPr>
              <w:pStyle w:val="TableContents"/>
              <w:bidi w:val="0"/>
              <w:spacing w:before="0" w:after="0"/>
              <w:ind w:left="0" w:right="0" w:hanging="0"/>
              <w:jc w:val="left"/>
              <w:rPr/>
            </w:pPr>
            <w:hyperlink w:anchor="Item4_Controls">
              <w:r>
                <w:rPr>
                  <w:rStyle w:val="InternetLink"/>
                  <w:rFonts w:ascii="Times New Roman;Times;serif" w:hAnsi="Times New Roman;Times;serif"/>
                  <w:b/>
                  <w:caps w:val="false"/>
                  <w:smallCaps w:val="false"/>
                  <w:sz w:val="20"/>
                  <w:u w:val="single"/>
                </w:rPr>
                <w:t>CONTROLS AND PROCEDURES</w:t>
              </w:r>
            </w:hyperlink>
          </w:p>
        </w:tc>
        <w:tc>
          <w:tcPr>
            <w:tcW w:w="245" w:type="dxa"/>
            <w:tcBorders/>
            <w:vAlign w:val="center"/>
          </w:tcPr>
          <w:p>
            <w:pPr>
              <w:pStyle w:val="TableContents"/>
              <w:bidi w:val="0"/>
              <w:spacing w:before="0" w:after="0"/>
              <w:ind w:left="0" w:right="0" w:hanging="0"/>
              <w:jc w:val="right"/>
              <w:rPr/>
            </w:pPr>
            <w:hyperlink w:anchor="Item4_Controls">
              <w:r>
                <w:rPr>
                  <w:rStyle w:val="InternetLink"/>
                  <w:rFonts w:ascii="Times New Roman" w:hAnsi="Times New Roman"/>
                  <w:b w:val="false"/>
                  <w:i w:val="false"/>
                  <w:caps w:val="false"/>
                  <w:smallCaps w:val="false"/>
                  <w:sz w:val="20"/>
                  <w:u w:val="single"/>
                </w:rPr>
                <w:t>58</w:t>
              </w:r>
            </w:hyperlink>
          </w:p>
        </w:tc>
      </w:tr>
      <w:tr>
        <w:trPr/>
        <w:tc>
          <w:tcPr>
            <w:tcW w:w="9960" w:type="dxa"/>
            <w:gridSpan w:val="2"/>
            <w:tcBorders/>
            <w:vAlign w:val="center"/>
          </w:tcPr>
          <w:p>
            <w:pPr>
              <w:pStyle w:val="TableContents"/>
              <w:bidi w:val="0"/>
              <w:spacing w:before="0" w:after="0"/>
              <w:ind w:left="0" w:right="0" w:hanging="0"/>
              <w:jc w:val="left"/>
              <w:rPr/>
            </w:pPr>
            <w:hyperlink w:anchor="Part_2">
              <w:r>
                <w:rPr>
                  <w:rStyle w:val="InternetLink"/>
                  <w:rFonts w:ascii="Times New Roman;Times;serif" w:hAnsi="Times New Roman;Times;serif"/>
                  <w:b/>
                  <w:caps w:val="false"/>
                  <w:smallCaps w:val="false"/>
                  <w:sz w:val="20"/>
                  <w:u w:val="single"/>
                </w:rPr>
                <w:t>PART II - OTHER INFORMATION</w:t>
              </w:r>
            </w:hyperlink>
          </w:p>
        </w:tc>
        <w:tc>
          <w:tcPr>
            <w:tcW w:w="245" w:type="dxa"/>
            <w:tcBorders/>
            <w:vAlign w:val="center"/>
          </w:tcPr>
          <w:p>
            <w:pPr>
              <w:pStyle w:val="TableContents"/>
              <w:bidi w:val="0"/>
              <w:spacing w:before="0" w:after="0"/>
              <w:ind w:left="0" w:right="0" w:hanging="0"/>
              <w:jc w:val="right"/>
              <w:rPr/>
            </w:pPr>
            <w:hyperlink w:anchor="Part_2">
              <w:r>
                <w:rPr>
                  <w:rStyle w:val="InternetLink"/>
                  <w:rFonts w:ascii="Times New Roman" w:hAnsi="Times New Roman"/>
                  <w:b w:val="false"/>
                  <w:i w:val="false"/>
                  <w:caps w:val="false"/>
                  <w:smallCaps w:val="false"/>
                  <w:sz w:val="20"/>
                  <w:u w:val="single"/>
                </w:rPr>
                <w:t>59</w:t>
              </w:r>
            </w:hyperlink>
          </w:p>
        </w:tc>
      </w:tr>
      <w:tr>
        <w:trPr/>
        <w:tc>
          <w:tcPr>
            <w:tcW w:w="1280" w:type="dxa"/>
            <w:tcBorders/>
            <w:vAlign w:val="center"/>
          </w:tcPr>
          <w:p>
            <w:pPr>
              <w:pStyle w:val="TableContents"/>
              <w:bidi w:val="0"/>
              <w:spacing w:before="0" w:after="0"/>
              <w:ind w:left="240" w:right="0" w:hanging="0"/>
              <w:jc w:val="left"/>
              <w:rPr/>
            </w:pPr>
            <w:hyperlink w:anchor="Item1_Legal">
              <w:r>
                <w:rPr>
                  <w:rStyle w:val="InternetLink"/>
                  <w:rFonts w:ascii="Times New Roman;Times;serif" w:hAnsi="Times New Roman;Times;serif"/>
                  <w:b/>
                  <w:caps w:val="false"/>
                  <w:smallCaps w:val="false"/>
                  <w:sz w:val="20"/>
                  <w:u w:val="single"/>
                </w:rPr>
                <w:t>ITEM 1.</w:t>
              </w:r>
            </w:hyperlink>
          </w:p>
        </w:tc>
        <w:tc>
          <w:tcPr>
            <w:tcW w:w="8680" w:type="dxa"/>
            <w:tcBorders/>
            <w:vAlign w:val="center"/>
          </w:tcPr>
          <w:p>
            <w:pPr>
              <w:pStyle w:val="TableContents"/>
              <w:bidi w:val="0"/>
              <w:spacing w:before="0" w:after="0"/>
              <w:ind w:left="0" w:right="0" w:hanging="0"/>
              <w:jc w:val="left"/>
              <w:rPr/>
            </w:pPr>
            <w:hyperlink w:anchor="Item1_Legal">
              <w:r>
                <w:rPr>
                  <w:rStyle w:val="InternetLink"/>
                  <w:rFonts w:ascii="Times New Roman;Times;serif" w:hAnsi="Times New Roman;Times;serif"/>
                  <w:b/>
                  <w:caps w:val="false"/>
                  <w:smallCaps w:val="false"/>
                  <w:sz w:val="20"/>
                  <w:u w:val="single"/>
                </w:rPr>
                <w:t>LEGAL PROCEEDINGS</w:t>
              </w:r>
            </w:hyperlink>
          </w:p>
        </w:tc>
        <w:tc>
          <w:tcPr>
            <w:tcW w:w="245" w:type="dxa"/>
            <w:tcBorders/>
            <w:vAlign w:val="center"/>
          </w:tcPr>
          <w:p>
            <w:pPr>
              <w:pStyle w:val="TableContents"/>
              <w:bidi w:val="0"/>
              <w:spacing w:before="0" w:after="0"/>
              <w:ind w:left="0" w:right="0" w:hanging="0"/>
              <w:jc w:val="right"/>
              <w:rPr/>
            </w:pPr>
            <w:hyperlink w:anchor="Item1_Legal">
              <w:r>
                <w:rPr>
                  <w:rStyle w:val="InternetLink"/>
                  <w:rFonts w:ascii="Times New Roman" w:hAnsi="Times New Roman"/>
                  <w:b w:val="false"/>
                  <w:i w:val="false"/>
                  <w:caps w:val="false"/>
                  <w:smallCaps w:val="false"/>
                  <w:sz w:val="20"/>
                  <w:u w:val="single"/>
                </w:rPr>
                <w:t>59</w:t>
              </w:r>
            </w:hyperlink>
          </w:p>
        </w:tc>
      </w:tr>
      <w:tr>
        <w:trPr/>
        <w:tc>
          <w:tcPr>
            <w:tcW w:w="1280" w:type="dxa"/>
            <w:tcBorders/>
            <w:vAlign w:val="center"/>
          </w:tcPr>
          <w:p>
            <w:pPr>
              <w:pStyle w:val="TableContents"/>
              <w:bidi w:val="0"/>
              <w:spacing w:before="0" w:after="0"/>
              <w:ind w:left="240" w:right="0" w:hanging="0"/>
              <w:jc w:val="left"/>
              <w:rPr/>
            </w:pPr>
            <w:hyperlink w:anchor="Item1A_Risk">
              <w:r>
                <w:rPr>
                  <w:rStyle w:val="InternetLink"/>
                  <w:rFonts w:ascii="Times New Roman;Times;serif" w:hAnsi="Times New Roman;Times;serif"/>
                  <w:b/>
                  <w:caps w:val="false"/>
                  <w:smallCaps w:val="false"/>
                  <w:sz w:val="20"/>
                  <w:u w:val="single"/>
                </w:rPr>
                <w:t>ITEM 1A.</w:t>
              </w:r>
            </w:hyperlink>
          </w:p>
        </w:tc>
        <w:tc>
          <w:tcPr>
            <w:tcW w:w="8680" w:type="dxa"/>
            <w:tcBorders/>
            <w:vAlign w:val="center"/>
          </w:tcPr>
          <w:p>
            <w:pPr>
              <w:pStyle w:val="TableContents"/>
              <w:bidi w:val="0"/>
              <w:spacing w:before="0" w:after="0"/>
              <w:ind w:left="0" w:right="0" w:hanging="0"/>
              <w:jc w:val="left"/>
              <w:rPr/>
            </w:pPr>
            <w:hyperlink w:anchor="Item1A_Risk">
              <w:r>
                <w:rPr>
                  <w:rStyle w:val="InternetLink"/>
                  <w:rFonts w:ascii="Times New Roman;Times;serif" w:hAnsi="Times New Roman;Times;serif"/>
                  <w:b/>
                  <w:caps w:val="false"/>
                  <w:smallCaps w:val="false"/>
                  <w:sz w:val="20"/>
                  <w:u w:val="single"/>
                </w:rPr>
                <w:t>RISK FACTORS</w:t>
              </w:r>
            </w:hyperlink>
          </w:p>
        </w:tc>
        <w:tc>
          <w:tcPr>
            <w:tcW w:w="245" w:type="dxa"/>
            <w:tcBorders/>
            <w:vAlign w:val="center"/>
          </w:tcPr>
          <w:p>
            <w:pPr>
              <w:pStyle w:val="TableContents"/>
              <w:bidi w:val="0"/>
              <w:spacing w:before="0" w:after="0"/>
              <w:ind w:left="0" w:right="0" w:hanging="0"/>
              <w:jc w:val="right"/>
              <w:rPr/>
            </w:pPr>
            <w:hyperlink w:anchor="Item1A_Risk">
              <w:r>
                <w:rPr>
                  <w:rStyle w:val="InternetLink"/>
                  <w:rFonts w:ascii="Times New Roman" w:hAnsi="Times New Roman"/>
                  <w:b w:val="false"/>
                  <w:i w:val="false"/>
                  <w:caps w:val="false"/>
                  <w:smallCaps w:val="false"/>
                  <w:sz w:val="20"/>
                  <w:u w:val="single"/>
                </w:rPr>
                <w:t>59</w:t>
              </w:r>
            </w:hyperlink>
          </w:p>
        </w:tc>
      </w:tr>
      <w:tr>
        <w:trPr/>
        <w:tc>
          <w:tcPr>
            <w:tcW w:w="1280" w:type="dxa"/>
            <w:tcBorders/>
            <w:vAlign w:val="center"/>
          </w:tcPr>
          <w:p>
            <w:pPr>
              <w:pStyle w:val="TableContents"/>
              <w:bidi w:val="0"/>
              <w:spacing w:before="0" w:after="0"/>
              <w:ind w:left="240" w:right="0" w:hanging="0"/>
              <w:jc w:val="left"/>
              <w:rPr/>
            </w:pPr>
            <w:hyperlink w:anchor="Item2_Unreg">
              <w:r>
                <w:rPr>
                  <w:rStyle w:val="InternetLink"/>
                  <w:rFonts w:ascii="Times New Roman;Times;serif" w:hAnsi="Times New Roman;Times;serif"/>
                  <w:b/>
                  <w:caps w:val="false"/>
                  <w:smallCaps w:val="false"/>
                  <w:sz w:val="20"/>
                  <w:u w:val="single"/>
                </w:rPr>
                <w:t>ITEM 2.</w:t>
              </w:r>
            </w:hyperlink>
          </w:p>
        </w:tc>
        <w:tc>
          <w:tcPr>
            <w:tcW w:w="8680" w:type="dxa"/>
            <w:tcBorders/>
            <w:vAlign w:val="center"/>
          </w:tcPr>
          <w:p>
            <w:pPr>
              <w:pStyle w:val="TableContents"/>
              <w:bidi w:val="0"/>
              <w:spacing w:before="0" w:after="0"/>
              <w:ind w:left="0" w:right="0" w:hanging="0"/>
              <w:jc w:val="left"/>
              <w:rPr/>
            </w:pPr>
            <w:hyperlink w:anchor="Item2_Unreg">
              <w:r>
                <w:rPr>
                  <w:rStyle w:val="InternetLink"/>
                  <w:rFonts w:ascii="Times New Roman;Times;serif" w:hAnsi="Times New Roman;Times;serif"/>
                  <w:b/>
                  <w:caps w:val="false"/>
                  <w:smallCaps w:val="false"/>
                  <w:sz w:val="20"/>
                  <w:u w:val="single"/>
                </w:rPr>
                <w:t>UNREGISTERED SALES OF EQUITY SECURITIES AND USE OF PROCEEDS</w:t>
              </w:r>
            </w:hyperlink>
          </w:p>
        </w:tc>
        <w:tc>
          <w:tcPr>
            <w:tcW w:w="245" w:type="dxa"/>
            <w:tcBorders/>
            <w:vAlign w:val="center"/>
          </w:tcPr>
          <w:p>
            <w:pPr>
              <w:pStyle w:val="TableContents"/>
              <w:bidi w:val="0"/>
              <w:spacing w:before="0" w:after="0"/>
              <w:ind w:left="0" w:right="0" w:hanging="0"/>
              <w:jc w:val="right"/>
              <w:rPr/>
            </w:pPr>
            <w:hyperlink w:anchor="Item2_Unreg">
              <w:r>
                <w:rPr>
                  <w:rStyle w:val="InternetLink"/>
                  <w:rFonts w:ascii="Times New Roman" w:hAnsi="Times New Roman"/>
                  <w:b w:val="false"/>
                  <w:i w:val="false"/>
                  <w:caps w:val="false"/>
                  <w:smallCaps w:val="false"/>
                  <w:sz w:val="20"/>
                  <w:u w:val="single"/>
                </w:rPr>
                <w:t>59</w:t>
              </w:r>
            </w:hyperlink>
          </w:p>
        </w:tc>
      </w:tr>
      <w:tr>
        <w:trPr/>
        <w:tc>
          <w:tcPr>
            <w:tcW w:w="1280" w:type="dxa"/>
            <w:tcBorders/>
            <w:vAlign w:val="center"/>
          </w:tcPr>
          <w:p>
            <w:pPr>
              <w:pStyle w:val="TableContents"/>
              <w:bidi w:val="0"/>
              <w:spacing w:before="0" w:after="0"/>
              <w:ind w:left="240" w:right="0" w:hanging="0"/>
              <w:jc w:val="left"/>
              <w:rPr/>
            </w:pPr>
            <w:hyperlink w:anchor="Item3_Defaults">
              <w:r>
                <w:rPr>
                  <w:rStyle w:val="InternetLink"/>
                  <w:rFonts w:ascii="Times New Roman;Times;serif" w:hAnsi="Times New Roman;Times;serif"/>
                  <w:b/>
                  <w:caps w:val="false"/>
                  <w:smallCaps w:val="false"/>
                  <w:sz w:val="20"/>
                  <w:u w:val="single"/>
                </w:rPr>
                <w:t>ITEM 3.</w:t>
              </w:r>
            </w:hyperlink>
          </w:p>
        </w:tc>
        <w:tc>
          <w:tcPr>
            <w:tcW w:w="8680" w:type="dxa"/>
            <w:tcBorders/>
            <w:vAlign w:val="center"/>
          </w:tcPr>
          <w:p>
            <w:pPr>
              <w:pStyle w:val="TableContents"/>
              <w:bidi w:val="0"/>
              <w:spacing w:before="0" w:after="0"/>
              <w:ind w:left="0" w:right="0" w:hanging="0"/>
              <w:jc w:val="left"/>
              <w:rPr/>
            </w:pPr>
            <w:hyperlink w:anchor="Item3_Defaults">
              <w:r>
                <w:rPr>
                  <w:rStyle w:val="InternetLink"/>
                  <w:rFonts w:ascii="Times New Roman;Times;serif" w:hAnsi="Times New Roman;Times;serif"/>
                  <w:b/>
                  <w:caps w:val="false"/>
                  <w:smallCaps w:val="false"/>
                  <w:sz w:val="20"/>
                  <w:u w:val="single"/>
                </w:rPr>
                <w:t>DEFAULTS UPON SENIOR SECURITIES</w:t>
              </w:r>
            </w:hyperlink>
          </w:p>
        </w:tc>
        <w:tc>
          <w:tcPr>
            <w:tcW w:w="245" w:type="dxa"/>
            <w:tcBorders/>
            <w:vAlign w:val="center"/>
          </w:tcPr>
          <w:p>
            <w:pPr>
              <w:pStyle w:val="TableContents"/>
              <w:bidi w:val="0"/>
              <w:spacing w:before="0" w:after="0"/>
              <w:ind w:left="0" w:right="0" w:hanging="0"/>
              <w:jc w:val="right"/>
              <w:rPr/>
            </w:pPr>
            <w:hyperlink w:anchor="Item3_Defaults">
              <w:r>
                <w:rPr>
                  <w:rStyle w:val="InternetLink"/>
                  <w:rFonts w:ascii="Times New Roman" w:hAnsi="Times New Roman"/>
                  <w:b w:val="false"/>
                  <w:i w:val="false"/>
                  <w:caps w:val="false"/>
                  <w:smallCaps w:val="false"/>
                  <w:sz w:val="20"/>
                  <w:u w:val="single"/>
                </w:rPr>
                <w:t>59</w:t>
              </w:r>
            </w:hyperlink>
          </w:p>
        </w:tc>
      </w:tr>
      <w:tr>
        <w:trPr/>
        <w:tc>
          <w:tcPr>
            <w:tcW w:w="1280" w:type="dxa"/>
            <w:tcBorders/>
            <w:vAlign w:val="center"/>
          </w:tcPr>
          <w:p>
            <w:pPr>
              <w:pStyle w:val="TableContents"/>
              <w:bidi w:val="0"/>
              <w:spacing w:before="0" w:after="0"/>
              <w:ind w:left="240" w:right="0" w:hanging="0"/>
              <w:jc w:val="left"/>
              <w:rPr/>
            </w:pPr>
            <w:hyperlink w:anchor="Item4_Mine">
              <w:r>
                <w:rPr>
                  <w:rStyle w:val="InternetLink"/>
                  <w:rFonts w:ascii="Times New Roman;Times;serif" w:hAnsi="Times New Roman;Times;serif"/>
                  <w:b/>
                  <w:caps w:val="false"/>
                  <w:smallCaps w:val="false"/>
                  <w:sz w:val="20"/>
                  <w:u w:val="single"/>
                </w:rPr>
                <w:t>ITEM 4.</w:t>
              </w:r>
            </w:hyperlink>
          </w:p>
        </w:tc>
        <w:tc>
          <w:tcPr>
            <w:tcW w:w="8680" w:type="dxa"/>
            <w:tcBorders/>
            <w:vAlign w:val="center"/>
          </w:tcPr>
          <w:p>
            <w:pPr>
              <w:pStyle w:val="TableContents"/>
              <w:bidi w:val="0"/>
              <w:spacing w:before="0" w:after="0"/>
              <w:ind w:left="0" w:right="0" w:hanging="0"/>
              <w:jc w:val="left"/>
              <w:rPr/>
            </w:pPr>
            <w:hyperlink w:anchor="Item4_Mine">
              <w:r>
                <w:rPr>
                  <w:rStyle w:val="InternetLink"/>
                  <w:rFonts w:ascii="Times New Roman;Times;serif" w:hAnsi="Times New Roman;Times;serif"/>
                  <w:b/>
                  <w:caps w:val="false"/>
                  <w:smallCaps w:val="false"/>
                  <w:sz w:val="20"/>
                  <w:u w:val="single"/>
                </w:rPr>
                <w:t>MINE SAFETY DISCLOSURES</w:t>
              </w:r>
            </w:hyperlink>
          </w:p>
        </w:tc>
        <w:tc>
          <w:tcPr>
            <w:tcW w:w="245" w:type="dxa"/>
            <w:tcBorders/>
            <w:vAlign w:val="center"/>
          </w:tcPr>
          <w:p>
            <w:pPr>
              <w:pStyle w:val="TableContents"/>
              <w:bidi w:val="0"/>
              <w:spacing w:before="0" w:after="0"/>
              <w:ind w:left="0" w:right="0" w:hanging="0"/>
              <w:jc w:val="right"/>
              <w:rPr/>
            </w:pPr>
            <w:hyperlink w:anchor="Item4_Mine">
              <w:r>
                <w:rPr>
                  <w:rStyle w:val="InternetLink"/>
                  <w:rFonts w:ascii="Times New Roman" w:hAnsi="Times New Roman"/>
                  <w:b w:val="false"/>
                  <w:i w:val="false"/>
                  <w:caps w:val="false"/>
                  <w:smallCaps w:val="false"/>
                  <w:sz w:val="20"/>
                  <w:u w:val="single"/>
                </w:rPr>
                <w:t>59</w:t>
              </w:r>
            </w:hyperlink>
          </w:p>
        </w:tc>
      </w:tr>
      <w:tr>
        <w:trPr/>
        <w:tc>
          <w:tcPr>
            <w:tcW w:w="1280" w:type="dxa"/>
            <w:tcBorders/>
            <w:vAlign w:val="center"/>
          </w:tcPr>
          <w:p>
            <w:pPr>
              <w:pStyle w:val="TableContents"/>
              <w:bidi w:val="0"/>
              <w:spacing w:before="0" w:after="0"/>
              <w:ind w:left="240" w:right="0" w:hanging="0"/>
              <w:jc w:val="left"/>
              <w:rPr/>
            </w:pPr>
            <w:hyperlink w:anchor="ITem5_Other">
              <w:r>
                <w:rPr>
                  <w:rStyle w:val="InternetLink"/>
                  <w:rFonts w:ascii="Times New Roman;Times;serif" w:hAnsi="Times New Roman;Times;serif"/>
                  <w:b/>
                  <w:caps w:val="false"/>
                  <w:smallCaps w:val="false"/>
                  <w:sz w:val="20"/>
                  <w:u w:val="single"/>
                </w:rPr>
                <w:t>ITEM 5.</w:t>
              </w:r>
            </w:hyperlink>
          </w:p>
        </w:tc>
        <w:tc>
          <w:tcPr>
            <w:tcW w:w="8680" w:type="dxa"/>
            <w:tcBorders/>
            <w:vAlign w:val="center"/>
          </w:tcPr>
          <w:p>
            <w:pPr>
              <w:pStyle w:val="TableContents"/>
              <w:bidi w:val="0"/>
              <w:spacing w:before="0" w:after="0"/>
              <w:ind w:left="0" w:right="0" w:hanging="0"/>
              <w:jc w:val="left"/>
              <w:rPr/>
            </w:pPr>
            <w:hyperlink w:anchor="ITem5_Other">
              <w:r>
                <w:rPr>
                  <w:rStyle w:val="InternetLink"/>
                  <w:rFonts w:ascii="Times New Roman;Times;serif" w:hAnsi="Times New Roman;Times;serif"/>
                  <w:b/>
                  <w:caps w:val="false"/>
                  <w:smallCaps w:val="false"/>
                  <w:sz w:val="20"/>
                  <w:u w:val="single"/>
                </w:rPr>
                <w:t>OTHER INFORMATION</w:t>
              </w:r>
            </w:hyperlink>
          </w:p>
        </w:tc>
        <w:tc>
          <w:tcPr>
            <w:tcW w:w="245" w:type="dxa"/>
            <w:tcBorders/>
            <w:vAlign w:val="center"/>
          </w:tcPr>
          <w:p>
            <w:pPr>
              <w:pStyle w:val="TableContents"/>
              <w:bidi w:val="0"/>
              <w:spacing w:before="0" w:after="0"/>
              <w:ind w:left="0" w:right="0" w:hanging="0"/>
              <w:jc w:val="right"/>
              <w:rPr/>
            </w:pPr>
            <w:hyperlink w:anchor="ITem5_Other">
              <w:r>
                <w:rPr>
                  <w:rStyle w:val="InternetLink"/>
                  <w:rFonts w:ascii="Times New Roman" w:hAnsi="Times New Roman"/>
                  <w:b w:val="false"/>
                  <w:i w:val="false"/>
                  <w:caps w:val="false"/>
                  <w:smallCaps w:val="false"/>
                  <w:sz w:val="20"/>
                  <w:u w:val="single"/>
                </w:rPr>
                <w:t>59</w:t>
              </w:r>
            </w:hyperlink>
          </w:p>
        </w:tc>
      </w:tr>
      <w:tr>
        <w:trPr/>
        <w:tc>
          <w:tcPr>
            <w:tcW w:w="1280" w:type="dxa"/>
            <w:tcBorders/>
            <w:vAlign w:val="center"/>
          </w:tcPr>
          <w:p>
            <w:pPr>
              <w:pStyle w:val="TableContents"/>
              <w:bidi w:val="0"/>
              <w:spacing w:before="0" w:after="0"/>
              <w:ind w:left="240" w:right="0" w:hanging="0"/>
              <w:jc w:val="left"/>
              <w:rPr/>
            </w:pPr>
            <w:hyperlink w:anchor="Item6_Exhibits">
              <w:r>
                <w:rPr>
                  <w:rStyle w:val="InternetLink"/>
                  <w:rFonts w:ascii="Times New Roman;Times;serif" w:hAnsi="Times New Roman;Times;serif"/>
                  <w:b/>
                  <w:caps w:val="false"/>
                  <w:smallCaps w:val="false"/>
                  <w:sz w:val="20"/>
                  <w:u w:val="single"/>
                </w:rPr>
                <w:t>ITEM 6.</w:t>
              </w:r>
            </w:hyperlink>
          </w:p>
        </w:tc>
        <w:tc>
          <w:tcPr>
            <w:tcW w:w="8680" w:type="dxa"/>
            <w:tcBorders/>
            <w:vAlign w:val="center"/>
          </w:tcPr>
          <w:p>
            <w:pPr>
              <w:pStyle w:val="TableContents"/>
              <w:bidi w:val="0"/>
              <w:spacing w:before="0" w:after="0"/>
              <w:ind w:left="0" w:right="0" w:hanging="0"/>
              <w:jc w:val="left"/>
              <w:rPr/>
            </w:pPr>
            <w:hyperlink w:anchor="Item6_Exhibits">
              <w:r>
                <w:rPr>
                  <w:rStyle w:val="InternetLink"/>
                  <w:rFonts w:ascii="Times New Roman;Times;serif" w:hAnsi="Times New Roman;Times;serif"/>
                  <w:b/>
                  <w:caps w:val="false"/>
                  <w:smallCaps w:val="false"/>
                  <w:sz w:val="20"/>
                  <w:u w:val="single"/>
                </w:rPr>
                <w:t>EXHIBITS</w:t>
              </w:r>
            </w:hyperlink>
          </w:p>
        </w:tc>
        <w:tc>
          <w:tcPr>
            <w:tcW w:w="245" w:type="dxa"/>
            <w:tcBorders/>
            <w:vAlign w:val="center"/>
          </w:tcPr>
          <w:p>
            <w:pPr>
              <w:pStyle w:val="TableContents"/>
              <w:bidi w:val="0"/>
              <w:spacing w:before="0" w:after="0"/>
              <w:ind w:left="0" w:right="0" w:hanging="0"/>
              <w:jc w:val="right"/>
              <w:rPr/>
            </w:pPr>
            <w:hyperlink w:anchor="Item6_Exhibits">
              <w:r>
                <w:rPr>
                  <w:rStyle w:val="InternetLink"/>
                  <w:rFonts w:ascii="Times New Roman" w:hAnsi="Times New Roman"/>
                  <w:b w:val="false"/>
                  <w:i w:val="false"/>
                  <w:caps w:val="false"/>
                  <w:smallCaps w:val="false"/>
                  <w:sz w:val="20"/>
                  <w:u w:val="single"/>
                </w:rPr>
                <w:t>60</w:t>
              </w:r>
            </w:hyperlink>
          </w:p>
        </w:tc>
      </w:tr>
      <w:tr>
        <w:trPr/>
        <w:tc>
          <w:tcPr>
            <w:tcW w:w="1280" w:type="dxa"/>
            <w:tcBorders/>
            <w:vAlign w:val="center"/>
          </w:tcPr>
          <w:p>
            <w:pPr>
              <w:pStyle w:val="TableContents"/>
              <w:bidi w:val="0"/>
              <w:spacing w:before="0" w:after="0"/>
              <w:ind w:left="0" w:right="0" w:hanging="0"/>
              <w:jc w:val="left"/>
              <w:rPr/>
            </w:pPr>
            <w:hyperlink w:anchor="Signatures">
              <w:r>
                <w:rPr>
                  <w:rStyle w:val="InternetLink"/>
                  <w:rFonts w:ascii="Times New Roman;Times;serif" w:hAnsi="Times New Roman;Times;serif"/>
                  <w:b/>
                  <w:caps w:val="false"/>
                  <w:smallCaps w:val="false"/>
                  <w:sz w:val="20"/>
                  <w:u w:val="single"/>
                </w:rPr>
                <w:t>SIGNATURES</w:t>
              </w:r>
            </w:hyperlink>
          </w:p>
        </w:tc>
        <w:tc>
          <w:tcPr>
            <w:tcW w:w="868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right"/>
              <w:rPr/>
            </w:pPr>
            <w:hyperlink w:anchor="Signatures">
              <w:r>
                <w:rPr>
                  <w:rStyle w:val="InternetLink"/>
                  <w:rFonts w:ascii="Times New Roman" w:hAnsi="Times New Roman"/>
                  <w:b w:val="false"/>
                  <w:i w:val="false"/>
                  <w:caps w:val="false"/>
                  <w:smallCaps w:val="false"/>
                  <w:sz w:val="20"/>
                  <w:u w:val="single"/>
                </w:rPr>
                <w:t>61</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160" w:right="0" w:hanging="0"/>
        <w:jc w:val="center"/>
        <w:rPr>
          <w:rFonts w:ascii="Times New Roman" w:hAnsi="Times New Roman"/>
          <w:b/>
          <w:caps w:val="false"/>
          <w:smallCaps w:val="false"/>
          <w:sz w:val="20"/>
        </w:rPr>
      </w:pPr>
      <w:bookmarkStart w:id="3" w:name="Part_1"/>
      <w:bookmarkEnd w:id="3"/>
      <w:r>
        <w:rPr>
          <w:rFonts w:ascii="Times New Roman" w:hAnsi="Times New Roman"/>
          <w:b/>
          <w:caps w:val="false"/>
          <w:smallCaps w:val="false"/>
          <w:sz w:val="20"/>
        </w:rPr>
        <w:t>PART I - FINANCIAL INFORMATION </w:t>
      </w:r>
    </w:p>
    <w:p>
      <w:pPr>
        <w:pStyle w:val="TextBody"/>
        <w:bidi w:val="0"/>
        <w:spacing w:before="0" w:after="0"/>
        <w:ind w:left="0" w:right="0" w:hanging="0"/>
        <w:jc w:val="left"/>
        <w:rPr>
          <w:caps w:val="false"/>
          <w:smallCaps w:val="false"/>
        </w:rPr>
      </w:pPr>
      <w:r>
        <w:rPr>
          <w:caps w:val="false"/>
          <w:smallCaps w:val="false"/>
        </w:rPr>
        <w:t> </w:t>
      </w:r>
    </w:p>
    <w:tbl>
      <w:tblPr>
        <w:tblW w:w="6145" w:type="dxa"/>
        <w:jc w:val="left"/>
        <w:tblInd w:w="0" w:type="dxa"/>
        <w:tblLayout w:type="fixed"/>
        <w:tblCellMar>
          <w:top w:w="0" w:type="dxa"/>
          <w:left w:w="0" w:type="dxa"/>
          <w:bottom w:w="0" w:type="dxa"/>
          <w:right w:w="0" w:type="dxa"/>
        </w:tblCellMar>
      </w:tblPr>
      <w:tblGrid>
        <w:gridCol w:w="740"/>
        <w:gridCol w:w="5405"/>
      </w:tblGrid>
      <w:tr>
        <w:trPr/>
        <w:tc>
          <w:tcPr>
            <w:tcW w:w="74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bookmarkStart w:id="4" w:name="Item1_Fin"/>
            <w:bookmarkEnd w:id="4"/>
            <w:r>
              <w:rPr>
                <w:rFonts w:ascii="Times New Roman" w:hAnsi="Times New Roman"/>
                <w:b/>
                <w:caps w:val="false"/>
                <w:smallCaps w:val="false"/>
                <w:sz w:val="20"/>
              </w:rPr>
              <w:t>ITEM 1.</w:t>
            </w:r>
          </w:p>
        </w:tc>
        <w:tc>
          <w:tcPr>
            <w:tcW w:w="540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CONSOLIDATED FINANCIAL STATEMENTS (UNAUDITED)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RBB BANCORP AND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CONSOLIDATED BALANCE SHEETS </w:t>
      </w:r>
    </w:p>
    <w:p>
      <w:pPr>
        <w:pStyle w:val="TextBody"/>
        <w:bidi w:val="0"/>
        <w:spacing w:before="0" w:after="0"/>
        <w:ind w:left="160" w:right="0" w:hanging="0"/>
        <w:jc w:val="center"/>
        <w:rPr>
          <w:rFonts w:ascii="Times New Roman" w:hAnsi="Times New Roman"/>
          <w:b/>
          <w:i/>
          <w:caps w:val="false"/>
          <w:smallCaps w:val="false"/>
          <w:sz w:val="20"/>
        </w:rPr>
      </w:pPr>
      <w:r>
        <w:rPr>
          <w:rFonts w:ascii="Times New Roman" w:hAnsi="Times New Roman"/>
          <w:b/>
          <w:i/>
          <w:caps w:val="false"/>
          <w:smallCaps w:val="false"/>
          <w:sz w:val="20"/>
        </w:rPr>
        <w:t>(In thousands, except share amounts)</w:t>
      </w:r>
    </w:p>
    <w:p>
      <w:pPr>
        <w:pStyle w:val="TextBody"/>
        <w:bidi w:val="0"/>
        <w:spacing w:before="0" w:after="0"/>
        <w:ind w:left="16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94"/>
        <w:gridCol w:w="60"/>
        <w:gridCol w:w="127"/>
        <w:gridCol w:w="859"/>
        <w:gridCol w:w="80"/>
        <w:gridCol w:w="60"/>
        <w:gridCol w:w="134"/>
        <w:gridCol w:w="909"/>
        <w:gridCol w:w="82"/>
      </w:tblGrid>
      <w:tr>
        <w:trPr/>
        <w:tc>
          <w:tcPr>
            <w:tcW w:w="78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6"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center"/>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8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6"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3"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82" w:type="dxa"/>
            <w:tcBorders/>
            <w:shd w:fill="FFFFFF" w:val="clear"/>
            <w:vAlign w:val="center"/>
          </w:tcPr>
          <w:p>
            <w:pPr>
              <w:pStyle w:val="TableContents"/>
              <w:bidi w:val="0"/>
              <w:spacing w:before="0" w:after="283"/>
              <w:jc w:val="left"/>
              <w:rPr/>
            </w:pPr>
            <w:r>
              <w:rPr/>
              <w:t> </w:t>
            </w:r>
          </w:p>
        </w:tc>
      </w:tr>
      <w:tr>
        <w:trPr/>
        <w:tc>
          <w:tcPr>
            <w:tcW w:w="78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2" w:type="dxa"/>
            <w:tcBorders/>
            <w:shd w:fill="FFFFFF" w:val="clear"/>
            <w:vAlign w:val="center"/>
          </w:tcPr>
          <w:p>
            <w:pPr>
              <w:pStyle w:val="TableContents"/>
              <w:bidi w:val="0"/>
              <w:spacing w:before="0" w:after="283"/>
              <w:jc w:val="left"/>
              <w:rPr/>
            </w:pPr>
            <w:r>
              <w:rPr/>
              <w:t> </w:t>
            </w:r>
          </w:p>
        </w:tc>
      </w:tr>
      <w:tr>
        <w:trPr/>
        <w:tc>
          <w:tcPr>
            <w:tcW w:w="7894"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89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due from banks</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27,086</w:t>
            </w:r>
          </w:p>
        </w:tc>
        <w:tc>
          <w:tcPr>
            <w:tcW w:w="82" w:type="dxa"/>
            <w:tcBorders/>
            <w:shd w:fill="FFFFFF" w:val="clear"/>
            <w:vAlign w:val="center"/>
          </w:tcPr>
          <w:p>
            <w:pPr>
              <w:pStyle w:val="TableContents"/>
              <w:bidi w:val="0"/>
              <w:spacing w:before="0" w:after="283"/>
              <w:jc w:val="left"/>
              <w:rPr/>
            </w:pPr>
            <w:r>
              <w:rPr/>
              <w:t> </w:t>
            </w:r>
          </w:p>
        </w:tc>
      </w:tr>
      <w:tr>
        <w:trPr/>
        <w:tc>
          <w:tcPr>
            <w:tcW w:w="789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Interest-earning deposits with financial institutions</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257,652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185,231</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94"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283,015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9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212,317</w:t>
            </w:r>
          </w:p>
        </w:tc>
        <w:tc>
          <w:tcPr>
            <w:tcW w:w="82" w:type="dxa"/>
            <w:tcBorders/>
            <w:shd w:fill="FFFFFF" w:val="clear"/>
            <w:vAlign w:val="center"/>
          </w:tcPr>
          <w:p>
            <w:pPr>
              <w:pStyle w:val="TableContents"/>
              <w:bidi w:val="0"/>
              <w:spacing w:before="0" w:after="283"/>
              <w:jc w:val="left"/>
              <w:rPr/>
            </w:pPr>
            <w:r>
              <w:rPr/>
              <w:t> </w:t>
            </w:r>
          </w:p>
        </w:tc>
      </w:tr>
      <w:tr>
        <w:trPr/>
        <w:tc>
          <w:tcPr>
            <w:tcW w:w="789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Interest-earning time deposits in other financial institutions</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9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w:t>
            </w:r>
          </w:p>
        </w:tc>
        <w:tc>
          <w:tcPr>
            <w:tcW w:w="82" w:type="dxa"/>
            <w:tcBorders/>
            <w:shd w:fill="CCEEFF" w:val="clear"/>
            <w:vAlign w:val="center"/>
          </w:tcPr>
          <w:p>
            <w:pPr>
              <w:pStyle w:val="TableContents"/>
              <w:bidi w:val="0"/>
              <w:spacing w:before="0" w:after="283"/>
              <w:jc w:val="left"/>
              <w:rPr/>
            </w:pPr>
            <w:r>
              <w:rPr/>
              <w:t> </w:t>
            </w:r>
          </w:p>
        </w:tc>
      </w:tr>
      <w:tr>
        <w:trPr/>
        <w:tc>
          <w:tcPr>
            <w:tcW w:w="789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Securities: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894"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Available for sale (amortized cost of $428,022 and $426,145 at June 30, 2026 and December 31, 2025)</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407,160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9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407,204</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94" w:type="dxa"/>
            <w:tcBorders/>
            <w:shd w:fill="FFFFFF" w:val="clear"/>
            <w:vAlign w:val="center"/>
          </w:tcPr>
          <w:p>
            <w:pPr>
              <w:pStyle w:val="TableContents"/>
              <w:bidi w:val="0"/>
              <w:spacing w:before="0" w:after="0"/>
              <w:ind w:left="72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Held to maturity (fair value of $4,078 and $4,103 at June 30, 2026 and December 31, 2025)</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9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4,184</w:t>
            </w:r>
          </w:p>
        </w:tc>
        <w:tc>
          <w:tcPr>
            <w:tcW w:w="82" w:type="dxa"/>
            <w:tcBorders/>
            <w:shd w:fill="FFFFFF" w:val="clear"/>
            <w:vAlign w:val="center"/>
          </w:tcPr>
          <w:p>
            <w:pPr>
              <w:pStyle w:val="TableContents"/>
              <w:bidi w:val="0"/>
              <w:spacing w:before="0" w:after="283"/>
              <w:jc w:val="left"/>
              <w:rPr/>
            </w:pPr>
            <w:r>
              <w:rPr/>
              <w:t> </w:t>
            </w:r>
          </w:p>
        </w:tc>
      </w:tr>
      <w:tr>
        <w:trPr/>
        <w:tc>
          <w:tcPr>
            <w:tcW w:w="7894" w:type="dxa"/>
            <w:tcBorders/>
            <w:shd w:fill="CCEEFF" w:val="clear"/>
            <w:vAlign w:val="center"/>
          </w:tcPr>
          <w:p>
            <w:pPr>
              <w:pStyle w:val="TableContents"/>
              <w:bidi w:val="0"/>
              <w:spacing w:before="0" w:after="0"/>
              <w:ind w:left="720" w:right="0" w:hanging="7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Loans held for sale</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2,067</w:t>
            </w:r>
          </w:p>
        </w:tc>
        <w:tc>
          <w:tcPr>
            <w:tcW w:w="82" w:type="dxa"/>
            <w:tcBorders/>
            <w:shd w:fill="CCEEFF" w:val="clear"/>
            <w:vAlign w:val="center"/>
          </w:tcPr>
          <w:p>
            <w:pPr>
              <w:pStyle w:val="TableContents"/>
              <w:bidi w:val="0"/>
              <w:spacing w:before="0" w:after="283"/>
              <w:jc w:val="left"/>
              <w:rPr/>
            </w:pPr>
            <w:r>
              <w:rPr/>
              <w:t> </w:t>
            </w:r>
          </w:p>
        </w:tc>
      </w:tr>
      <w:tr>
        <w:trPr/>
        <w:tc>
          <w:tcPr>
            <w:tcW w:w="789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Loans held for investment</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3,309,459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9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3,314,301</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94" w:type="dxa"/>
            <w:tcBorders/>
            <w:shd w:fill="CCEEFF" w:val="clear"/>
            <w:vAlign w:val="center"/>
          </w:tcPr>
          <w:p>
            <w:pPr>
              <w:pStyle w:val="TableContents"/>
              <w:bidi w:val="0"/>
              <w:spacing w:before="0" w:after="0"/>
              <w:ind w:left="36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Allowance for loan losses</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(43,660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(43,888</w:t>
            </w:r>
          </w:p>
        </w:tc>
        <w:tc>
          <w:tcPr>
            <w:tcW w:w="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894"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Loans held for investment, net of allowance for loan losses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3,265,799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9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3,270,413</w:t>
            </w:r>
          </w:p>
        </w:tc>
        <w:tc>
          <w:tcPr>
            <w:tcW w:w="82" w:type="dxa"/>
            <w:tcBorders/>
            <w:shd w:fill="FFFFFF" w:val="clear"/>
            <w:vAlign w:val="center"/>
          </w:tcPr>
          <w:p>
            <w:pPr>
              <w:pStyle w:val="TableContents"/>
              <w:bidi w:val="0"/>
              <w:spacing w:before="0" w:after="283"/>
              <w:jc w:val="left"/>
              <w:rPr/>
            </w:pPr>
            <w:r>
              <w:rPr/>
              <w:t> </w:t>
            </w:r>
          </w:p>
        </w:tc>
      </w:tr>
      <w:tr>
        <w:trPr/>
        <w:tc>
          <w:tcPr>
            <w:tcW w:w="78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89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Premises and equipment, net</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9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23,540</w:t>
            </w:r>
          </w:p>
        </w:tc>
        <w:tc>
          <w:tcPr>
            <w:tcW w:w="82" w:type="dxa"/>
            <w:tcBorders/>
            <w:shd w:fill="FFFFFF" w:val="clear"/>
            <w:vAlign w:val="center"/>
          </w:tcPr>
          <w:p>
            <w:pPr>
              <w:pStyle w:val="TableContents"/>
              <w:bidi w:val="0"/>
              <w:spacing w:before="0" w:after="283"/>
              <w:jc w:val="left"/>
              <w:rPr/>
            </w:pPr>
            <w:r>
              <w:rPr/>
              <w:t> </w:t>
            </w:r>
          </w:p>
        </w:tc>
      </w:tr>
      <w:tr>
        <w:trPr/>
        <w:tc>
          <w:tcPr>
            <w:tcW w:w="789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Federal Home Loan Bank (FHLB) stock</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9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15,000</w:t>
            </w:r>
          </w:p>
        </w:tc>
        <w:tc>
          <w:tcPr>
            <w:tcW w:w="82" w:type="dxa"/>
            <w:tcBorders/>
            <w:shd w:fill="CCEEFF" w:val="clear"/>
            <w:vAlign w:val="center"/>
          </w:tcPr>
          <w:p>
            <w:pPr>
              <w:pStyle w:val="TableContents"/>
              <w:bidi w:val="0"/>
              <w:spacing w:before="0" w:after="283"/>
              <w:jc w:val="left"/>
              <w:rPr/>
            </w:pPr>
            <w:r>
              <w:rPr/>
              <w:t> </w:t>
            </w:r>
          </w:p>
        </w:tc>
      </w:tr>
      <w:tr>
        <w:trPr/>
        <w:tc>
          <w:tcPr>
            <w:tcW w:w="789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deferred tax assets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9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16,347</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94" w:type="dxa"/>
            <w:tcBorders/>
            <w:shd w:fill="CCEEFF" w:val="clear"/>
            <w:vAlign w:val="center"/>
          </w:tcPr>
          <w:p>
            <w:pPr>
              <w:pStyle w:val="TableContents"/>
              <w:bidi w:val="0"/>
              <w:spacing w:before="0" w:after="0"/>
              <w:ind w:left="36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receivable</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9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17,483</w:t>
            </w:r>
          </w:p>
        </w:tc>
        <w:tc>
          <w:tcPr>
            <w:tcW w:w="82" w:type="dxa"/>
            <w:tcBorders/>
            <w:shd w:fill="CCEEFF" w:val="clear"/>
            <w:vAlign w:val="center"/>
          </w:tcPr>
          <w:p>
            <w:pPr>
              <w:pStyle w:val="TableContents"/>
              <w:bidi w:val="0"/>
              <w:spacing w:before="0" w:after="283"/>
              <w:jc w:val="left"/>
              <w:rPr/>
            </w:pPr>
            <w:r>
              <w:rPr/>
              <w:t> </w:t>
            </w:r>
          </w:p>
        </w:tc>
      </w:tr>
      <w:tr>
        <w:trPr/>
        <w:tc>
          <w:tcPr>
            <w:tcW w:w="789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surrender value of bank owned life insurance (BOLI)</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62,841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9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61,972</w:t>
            </w:r>
          </w:p>
        </w:tc>
        <w:tc>
          <w:tcPr>
            <w:tcW w:w="82" w:type="dxa"/>
            <w:tcBorders/>
            <w:shd w:fill="FFFFFF" w:val="clear"/>
            <w:vAlign w:val="center"/>
          </w:tcPr>
          <w:p>
            <w:pPr>
              <w:pStyle w:val="TableContents"/>
              <w:bidi w:val="0"/>
              <w:spacing w:before="0" w:after="283"/>
              <w:jc w:val="left"/>
              <w:rPr/>
            </w:pPr>
            <w:r>
              <w:rPr/>
              <w:t> </w:t>
            </w:r>
          </w:p>
        </w:tc>
      </w:tr>
      <w:tr>
        <w:trPr/>
        <w:tc>
          <w:tcPr>
            <w:tcW w:w="789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71,498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9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71,498</w:t>
            </w:r>
          </w:p>
        </w:tc>
        <w:tc>
          <w:tcPr>
            <w:tcW w:w="82" w:type="dxa"/>
            <w:tcBorders/>
            <w:shd w:fill="CCEEFF" w:val="clear"/>
            <w:vAlign w:val="center"/>
          </w:tcPr>
          <w:p>
            <w:pPr>
              <w:pStyle w:val="TableContents"/>
              <w:bidi w:val="0"/>
              <w:spacing w:before="0" w:after="283"/>
              <w:jc w:val="left"/>
              <w:rPr/>
            </w:pPr>
            <w:r>
              <w:rPr/>
              <w:t> </w:t>
            </w:r>
          </w:p>
        </w:tc>
      </w:tr>
      <w:tr>
        <w:trPr/>
        <w:tc>
          <w:tcPr>
            <w:tcW w:w="789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Right-of-use assets - operating leases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9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23,026</w:t>
            </w:r>
          </w:p>
        </w:tc>
        <w:tc>
          <w:tcPr>
            <w:tcW w:w="82" w:type="dxa"/>
            <w:tcBorders/>
            <w:shd w:fill="FFFFFF" w:val="clear"/>
            <w:vAlign w:val="center"/>
          </w:tcPr>
          <w:p>
            <w:pPr>
              <w:pStyle w:val="TableContents"/>
              <w:bidi w:val="0"/>
              <w:spacing w:before="0" w:after="283"/>
              <w:jc w:val="left"/>
              <w:rPr/>
            </w:pPr>
            <w:r>
              <w:rPr/>
              <w:t> </w:t>
            </w:r>
          </w:p>
        </w:tc>
      </w:tr>
      <w:tr>
        <w:trPr/>
        <w:tc>
          <w:tcPr>
            <w:tcW w:w="789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interest and other assets</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97,561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82,643</w:t>
            </w:r>
          </w:p>
        </w:tc>
        <w:tc>
          <w:tcPr>
            <w:tcW w:w="82" w:type="dxa"/>
            <w:tcBorders/>
            <w:shd w:fill="CCEEFF" w:val="clear"/>
            <w:vAlign w:val="center"/>
          </w:tcPr>
          <w:p>
            <w:pPr>
              <w:pStyle w:val="TableContents"/>
              <w:bidi w:val="0"/>
              <w:spacing w:before="0" w:after="283"/>
              <w:jc w:val="left"/>
              <w:rPr/>
            </w:pPr>
            <w:r>
              <w:rPr/>
              <w:t> </w:t>
            </w:r>
          </w:p>
        </w:tc>
      </w:tr>
      <w:tr>
        <w:trPr/>
        <w:tc>
          <w:tcPr>
            <w:tcW w:w="7894" w:type="dxa"/>
            <w:tcBorders/>
            <w:shd w:fill="FFFFFF" w:val="clear"/>
            <w:vAlign w:val="center"/>
          </w:tcPr>
          <w:p>
            <w:pPr>
              <w:pStyle w:val="TableContents"/>
              <w:bidi w:val="0"/>
              <w:spacing w:before="0" w:after="0"/>
              <w:ind w:left="0" w:right="0" w:firstLine="90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4,275,002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4,208,294</w:t>
            </w:r>
          </w:p>
        </w:tc>
        <w:tc>
          <w:tcPr>
            <w:tcW w:w="82" w:type="dxa"/>
            <w:tcBorders/>
            <w:shd w:fill="FFFFFF" w:val="clear"/>
            <w:vAlign w:val="center"/>
          </w:tcPr>
          <w:p>
            <w:pPr>
              <w:pStyle w:val="TableContents"/>
              <w:bidi w:val="0"/>
              <w:spacing w:before="0" w:after="283"/>
              <w:jc w:val="left"/>
              <w:rPr/>
            </w:pPr>
            <w:r>
              <w:rPr/>
              <w:t> </w:t>
            </w:r>
          </w:p>
        </w:tc>
      </w:tr>
      <w:tr>
        <w:trPr/>
        <w:tc>
          <w:tcPr>
            <w:tcW w:w="7894"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 and Shareholders’ Equity</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89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Deposits: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894"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Noninterest-bearing demand</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591,556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526,538</w:t>
            </w:r>
          </w:p>
        </w:tc>
        <w:tc>
          <w:tcPr>
            <w:tcW w:w="82" w:type="dxa"/>
            <w:tcBorders/>
            <w:shd w:fill="CCEEFF" w:val="clear"/>
            <w:vAlign w:val="center"/>
          </w:tcPr>
          <w:p>
            <w:pPr>
              <w:pStyle w:val="TableContents"/>
              <w:bidi w:val="0"/>
              <w:spacing w:before="0" w:after="283"/>
              <w:jc w:val="left"/>
              <w:rPr/>
            </w:pPr>
            <w:r>
              <w:rPr/>
              <w:t> </w:t>
            </w:r>
          </w:p>
        </w:tc>
      </w:tr>
      <w:tr>
        <w:trPr/>
        <w:tc>
          <w:tcPr>
            <w:tcW w:w="7894" w:type="dxa"/>
            <w:tcBorders/>
            <w:shd w:fill="FFFFFF" w:val="clear"/>
            <w:vAlign w:val="center"/>
          </w:tcPr>
          <w:p>
            <w:pPr>
              <w:pStyle w:val="TableContents"/>
              <w:bidi w:val="0"/>
              <w:spacing w:before="0" w:after="0"/>
              <w:ind w:left="72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Savings, NOW and money market accounts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1,191,198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9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956,299</w:t>
            </w:r>
          </w:p>
        </w:tc>
        <w:tc>
          <w:tcPr>
            <w:tcW w:w="82" w:type="dxa"/>
            <w:tcBorders/>
            <w:shd w:fill="FFFFFF" w:val="clear"/>
            <w:vAlign w:val="center"/>
          </w:tcPr>
          <w:p>
            <w:pPr>
              <w:pStyle w:val="TableContents"/>
              <w:bidi w:val="0"/>
              <w:spacing w:before="0" w:after="283"/>
              <w:jc w:val="left"/>
              <w:rPr/>
            </w:pPr>
            <w:r>
              <w:rPr/>
              <w:t> </w:t>
            </w:r>
          </w:p>
        </w:tc>
      </w:tr>
      <w:tr>
        <w:trPr/>
        <w:tc>
          <w:tcPr>
            <w:tcW w:w="7894"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Time deposits $250,000 and under</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815,528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9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974,670</w:t>
            </w:r>
          </w:p>
        </w:tc>
        <w:tc>
          <w:tcPr>
            <w:tcW w:w="82" w:type="dxa"/>
            <w:tcBorders/>
            <w:shd w:fill="CCEEFF" w:val="clear"/>
            <w:vAlign w:val="center"/>
          </w:tcPr>
          <w:p>
            <w:pPr>
              <w:pStyle w:val="TableContents"/>
              <w:bidi w:val="0"/>
              <w:spacing w:before="0" w:after="283"/>
              <w:jc w:val="left"/>
              <w:rPr/>
            </w:pPr>
            <w:r>
              <w:rPr/>
              <w:t> </w:t>
            </w:r>
          </w:p>
        </w:tc>
      </w:tr>
      <w:tr>
        <w:trPr/>
        <w:tc>
          <w:tcPr>
            <w:tcW w:w="7894"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Time deposits over $250,000</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792,359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892,891</w:t>
            </w:r>
          </w:p>
        </w:tc>
        <w:tc>
          <w:tcPr>
            <w:tcW w:w="82" w:type="dxa"/>
            <w:tcBorders/>
            <w:shd w:fill="FFFFFF" w:val="clear"/>
            <w:vAlign w:val="center"/>
          </w:tcPr>
          <w:p>
            <w:pPr>
              <w:pStyle w:val="TableContents"/>
              <w:bidi w:val="0"/>
              <w:spacing w:before="0" w:after="283"/>
              <w:jc w:val="left"/>
              <w:rPr/>
            </w:pPr>
            <w:r>
              <w:rPr/>
              <w:t> </w:t>
            </w:r>
          </w:p>
        </w:tc>
      </w:tr>
      <w:tr>
        <w:trPr/>
        <w:tc>
          <w:tcPr>
            <w:tcW w:w="7894"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deposits</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3,390,641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9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3,350,398</w:t>
            </w:r>
          </w:p>
        </w:tc>
        <w:tc>
          <w:tcPr>
            <w:tcW w:w="82" w:type="dxa"/>
            <w:tcBorders/>
            <w:shd w:fill="CCEEFF" w:val="clear"/>
            <w:vAlign w:val="center"/>
          </w:tcPr>
          <w:p>
            <w:pPr>
              <w:pStyle w:val="TableContents"/>
              <w:bidi w:val="0"/>
              <w:spacing w:before="0" w:after="283"/>
              <w:jc w:val="left"/>
              <w:rPr/>
            </w:pPr>
            <w:r>
              <w:rPr/>
              <w:t> </w:t>
            </w:r>
          </w:p>
        </w:tc>
      </w:tr>
      <w:tr>
        <w:trPr/>
        <w:tc>
          <w:tcPr>
            <w:tcW w:w="78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89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FHLB advances</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9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130,000</w:t>
            </w:r>
          </w:p>
        </w:tc>
        <w:tc>
          <w:tcPr>
            <w:tcW w:w="82" w:type="dxa"/>
            <w:tcBorders/>
            <w:shd w:fill="CCEEFF" w:val="clear"/>
            <w:vAlign w:val="center"/>
          </w:tcPr>
          <w:p>
            <w:pPr>
              <w:pStyle w:val="TableContents"/>
              <w:bidi w:val="0"/>
              <w:spacing w:before="0" w:after="283"/>
              <w:jc w:val="left"/>
              <w:rPr/>
            </w:pPr>
            <w:r>
              <w:rPr/>
              <w:t> </w:t>
            </w:r>
          </w:p>
        </w:tc>
      </w:tr>
      <w:tr>
        <w:trPr/>
        <w:tc>
          <w:tcPr>
            <w:tcW w:w="789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 net of issuance costs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9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119,911</w:t>
            </w:r>
          </w:p>
        </w:tc>
        <w:tc>
          <w:tcPr>
            <w:tcW w:w="82" w:type="dxa"/>
            <w:tcBorders/>
            <w:shd w:fill="FFFFFF" w:val="clear"/>
            <w:vAlign w:val="center"/>
          </w:tcPr>
          <w:p>
            <w:pPr>
              <w:pStyle w:val="TableContents"/>
              <w:bidi w:val="0"/>
              <w:spacing w:before="0" w:after="283"/>
              <w:jc w:val="left"/>
              <w:rPr/>
            </w:pPr>
            <w:r>
              <w:rPr/>
              <w:t> </w:t>
            </w:r>
          </w:p>
        </w:tc>
      </w:tr>
      <w:tr>
        <w:trPr/>
        <w:tc>
          <w:tcPr>
            <w:tcW w:w="789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Subordinated debentures, net</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9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15,375</w:t>
            </w:r>
          </w:p>
        </w:tc>
        <w:tc>
          <w:tcPr>
            <w:tcW w:w="82" w:type="dxa"/>
            <w:tcBorders/>
            <w:shd w:fill="CCEEFF" w:val="clear"/>
            <w:vAlign w:val="center"/>
          </w:tcPr>
          <w:p>
            <w:pPr>
              <w:pStyle w:val="TableContents"/>
              <w:bidi w:val="0"/>
              <w:spacing w:before="0" w:after="283"/>
              <w:jc w:val="left"/>
              <w:rPr/>
            </w:pPr>
            <w:r>
              <w:rPr/>
              <w:t> </w:t>
            </w:r>
          </w:p>
        </w:tc>
      </w:tr>
      <w:tr>
        <w:trPr/>
        <w:tc>
          <w:tcPr>
            <w:tcW w:w="789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liabilities - operating leases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9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24,800</w:t>
            </w:r>
          </w:p>
        </w:tc>
        <w:tc>
          <w:tcPr>
            <w:tcW w:w="82" w:type="dxa"/>
            <w:tcBorders/>
            <w:shd w:fill="FFFFFF" w:val="clear"/>
            <w:vAlign w:val="center"/>
          </w:tcPr>
          <w:p>
            <w:pPr>
              <w:pStyle w:val="TableContents"/>
              <w:bidi w:val="0"/>
              <w:spacing w:before="0" w:after="283"/>
              <w:jc w:val="left"/>
              <w:rPr/>
            </w:pPr>
            <w:r>
              <w:rPr/>
              <w:t> </w:t>
            </w:r>
          </w:p>
        </w:tc>
      </w:tr>
      <w:tr>
        <w:trPr/>
        <w:tc>
          <w:tcPr>
            <w:tcW w:w="789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interest and other liabilities</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44,400</w:t>
            </w:r>
          </w:p>
        </w:tc>
        <w:tc>
          <w:tcPr>
            <w:tcW w:w="82" w:type="dxa"/>
            <w:tcBorders/>
            <w:shd w:fill="CCEEFF" w:val="clear"/>
            <w:vAlign w:val="center"/>
          </w:tcPr>
          <w:p>
            <w:pPr>
              <w:pStyle w:val="TableContents"/>
              <w:bidi w:val="0"/>
              <w:spacing w:before="0" w:after="283"/>
              <w:jc w:val="left"/>
              <w:rPr/>
            </w:pPr>
            <w:r>
              <w:rPr/>
              <w:t> </w:t>
            </w:r>
          </w:p>
        </w:tc>
      </w:tr>
      <w:tr>
        <w:trPr/>
        <w:tc>
          <w:tcPr>
            <w:tcW w:w="7894" w:type="dxa"/>
            <w:tcBorders/>
            <w:shd w:fill="FFFFFF" w:val="clear"/>
            <w:vAlign w:val="center"/>
          </w:tcPr>
          <w:p>
            <w:pPr>
              <w:pStyle w:val="TableContents"/>
              <w:bidi w:val="0"/>
              <w:spacing w:before="0" w:after="0"/>
              <w:ind w:left="0" w:right="0" w:firstLine="90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3,739,825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9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3,684,884</w:t>
            </w:r>
          </w:p>
        </w:tc>
        <w:tc>
          <w:tcPr>
            <w:tcW w:w="82" w:type="dxa"/>
            <w:tcBorders/>
            <w:shd w:fill="FFFFFF" w:val="clear"/>
            <w:vAlign w:val="center"/>
          </w:tcPr>
          <w:p>
            <w:pPr>
              <w:pStyle w:val="TableContents"/>
              <w:bidi w:val="0"/>
              <w:spacing w:before="0" w:after="283"/>
              <w:jc w:val="left"/>
              <w:rPr/>
            </w:pPr>
            <w:r>
              <w:rPr/>
              <w:t> </w:t>
            </w:r>
          </w:p>
        </w:tc>
      </w:tr>
      <w:tr>
        <w:trPr/>
        <w:tc>
          <w:tcPr>
            <w:tcW w:w="78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89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Commitments and contingencies - Note 13</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8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89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Shareholders' equity:</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894"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Stock - 100,000,000 shares authorized, no par value; none outstanding</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909" w:type="dxa"/>
            <w:tcBorders/>
            <w:shd w:fill="CCEEFF" w:val="clear"/>
            <w:vAlign w:val="center"/>
          </w:tcPr>
          <w:p>
            <w:pPr>
              <w:pStyle w:val="TableContents"/>
              <w:bidi w:val="0"/>
              <w:spacing w:before="0" w:after="283"/>
              <w:ind w:left="0" w:right="0" w:hanging="0"/>
              <w:jc w:val="right"/>
              <w:rPr/>
            </w:pPr>
            <w:r>
              <w:rPr/>
              <w:t>—</w:t>
            </w:r>
          </w:p>
        </w:tc>
        <w:tc>
          <w:tcPr>
            <w:tcW w:w="82" w:type="dxa"/>
            <w:tcBorders/>
            <w:shd w:fill="CCEEFF" w:val="clear"/>
            <w:vAlign w:val="center"/>
          </w:tcPr>
          <w:p>
            <w:pPr>
              <w:pStyle w:val="TableContents"/>
              <w:bidi w:val="0"/>
              <w:spacing w:before="0" w:after="283"/>
              <w:jc w:val="left"/>
              <w:rPr/>
            </w:pPr>
            <w:r>
              <w:rPr/>
              <w:t> </w:t>
            </w:r>
          </w:p>
        </w:tc>
      </w:tr>
      <w:tr>
        <w:trPr/>
        <w:tc>
          <w:tcPr>
            <w:tcW w:w="7894"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- 100,000,000 shares authorized, no par value; 16,985,919 shares issued and outstanding at June 30, 2026 and 17,057,397 shares issued and outstanding at December 31, 2025</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250,590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9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250,694</w:t>
            </w:r>
          </w:p>
        </w:tc>
        <w:tc>
          <w:tcPr>
            <w:tcW w:w="82" w:type="dxa"/>
            <w:tcBorders/>
            <w:shd w:fill="FFFFFF" w:val="clear"/>
            <w:vAlign w:val="center"/>
          </w:tcPr>
          <w:p>
            <w:pPr>
              <w:pStyle w:val="TableContents"/>
              <w:bidi w:val="0"/>
              <w:spacing w:before="0" w:after="283"/>
              <w:jc w:val="left"/>
              <w:rPr/>
            </w:pPr>
            <w:r>
              <w:rPr/>
              <w:t> </w:t>
            </w:r>
          </w:p>
        </w:tc>
      </w:tr>
      <w:tr>
        <w:trPr/>
        <w:tc>
          <w:tcPr>
            <w:tcW w:w="7894"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9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3,941</w:t>
            </w:r>
          </w:p>
        </w:tc>
        <w:tc>
          <w:tcPr>
            <w:tcW w:w="82" w:type="dxa"/>
            <w:tcBorders/>
            <w:shd w:fill="CCEEFF" w:val="clear"/>
            <w:vAlign w:val="center"/>
          </w:tcPr>
          <w:p>
            <w:pPr>
              <w:pStyle w:val="TableContents"/>
              <w:bidi w:val="0"/>
              <w:spacing w:before="0" w:after="283"/>
              <w:jc w:val="left"/>
              <w:rPr/>
            </w:pPr>
            <w:r>
              <w:rPr/>
              <w:t> </w:t>
            </w:r>
          </w:p>
        </w:tc>
      </w:tr>
      <w:tr>
        <w:trPr/>
        <w:tc>
          <w:tcPr>
            <w:tcW w:w="7894"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Retained earnings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296,119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9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282,024</w:t>
            </w:r>
          </w:p>
        </w:tc>
        <w:tc>
          <w:tcPr>
            <w:tcW w:w="82" w:type="dxa"/>
            <w:tcBorders/>
            <w:shd w:fill="FFFFFF" w:val="clear"/>
            <w:vAlign w:val="center"/>
          </w:tcPr>
          <w:p>
            <w:pPr>
              <w:pStyle w:val="TableContents"/>
              <w:bidi w:val="0"/>
              <w:spacing w:before="0" w:after="283"/>
              <w:jc w:val="left"/>
              <w:rPr/>
            </w:pPr>
            <w:r>
              <w:rPr/>
              <w:t> </w:t>
            </w:r>
          </w:p>
        </w:tc>
      </w:tr>
      <w:tr>
        <w:trPr/>
        <w:tc>
          <w:tcPr>
            <w:tcW w:w="7894"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Non-controlling interest</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9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p>
        </w:tc>
        <w:tc>
          <w:tcPr>
            <w:tcW w:w="82" w:type="dxa"/>
            <w:tcBorders/>
            <w:shd w:fill="CCEEFF" w:val="clear"/>
            <w:vAlign w:val="center"/>
          </w:tcPr>
          <w:p>
            <w:pPr>
              <w:pStyle w:val="TableContents"/>
              <w:bidi w:val="0"/>
              <w:spacing w:before="0" w:after="283"/>
              <w:jc w:val="left"/>
              <w:rPr/>
            </w:pPr>
            <w:r>
              <w:rPr/>
              <w:t> </w:t>
            </w:r>
          </w:p>
        </w:tc>
      </w:tr>
      <w:tr>
        <w:trPr/>
        <w:tc>
          <w:tcPr>
            <w:tcW w:w="7894"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loss, net</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(14,608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(13,321</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94" w:type="dxa"/>
            <w:tcBorders/>
            <w:shd w:fill="CCEEFF" w:val="clear"/>
            <w:vAlign w:val="center"/>
          </w:tcPr>
          <w:p>
            <w:pPr>
              <w:pStyle w:val="TableContents"/>
              <w:bidi w:val="0"/>
              <w:spacing w:before="0" w:after="0"/>
              <w:ind w:left="36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shareholders’ equity</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535,177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523,410</w:t>
            </w:r>
          </w:p>
        </w:tc>
        <w:tc>
          <w:tcPr>
            <w:tcW w:w="82" w:type="dxa"/>
            <w:tcBorders/>
            <w:shd w:fill="CCEEFF" w:val="clear"/>
            <w:vAlign w:val="center"/>
          </w:tcPr>
          <w:p>
            <w:pPr>
              <w:pStyle w:val="TableContents"/>
              <w:bidi w:val="0"/>
              <w:spacing w:before="0" w:after="283"/>
              <w:jc w:val="left"/>
              <w:rPr/>
            </w:pPr>
            <w:r>
              <w:rPr/>
              <w:t> </w:t>
            </w:r>
          </w:p>
        </w:tc>
      </w:tr>
      <w:tr>
        <w:trPr/>
        <w:tc>
          <w:tcPr>
            <w:tcW w:w="7894" w:type="dxa"/>
            <w:tcBorders/>
            <w:shd w:fill="FFFFFF" w:val="clear"/>
            <w:vAlign w:val="center"/>
          </w:tcPr>
          <w:p>
            <w:pPr>
              <w:pStyle w:val="TableContents"/>
              <w:bidi w:val="0"/>
              <w:spacing w:before="0" w:after="0"/>
              <w:ind w:left="72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shareholders’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4,275,002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4,208,294</w:t>
            </w:r>
          </w:p>
        </w:tc>
        <w:tc>
          <w:tcPr>
            <w:tcW w:w="8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unaudited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RBB BANCORP AND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CONSOLIDATED STATEMENTS OF INCOME </w:t>
      </w:r>
      <w:r>
        <w:rPr>
          <w:rFonts w:ascii="Times New Roman" w:hAnsi="Times New Roman"/>
          <w:caps w:val="false"/>
          <w:smallCaps w:val="false"/>
          <w:sz w:val="20"/>
        </w:rPr>
        <w:t xml:space="preserve">– </w:t>
      </w:r>
      <w:r>
        <w:rPr>
          <w:rFonts w:ascii="Times New Roman" w:hAnsi="Times New Roman"/>
          <w:b/>
          <w:caps w:val="false"/>
          <w:smallCaps w:val="false"/>
          <w:sz w:val="20"/>
        </w:rPr>
        <w:t>(UNAUDITED)</w:t>
      </w:r>
    </w:p>
    <w:p>
      <w:pPr>
        <w:pStyle w:val="TextBody"/>
        <w:bidi w:val="0"/>
        <w:spacing w:before="0" w:after="0"/>
        <w:ind w:left="160" w:right="0" w:hanging="0"/>
        <w:jc w:val="center"/>
        <w:rPr>
          <w:rFonts w:ascii="Times New Roman" w:hAnsi="Times New Roman"/>
          <w:b/>
          <w:i/>
          <w:caps w:val="false"/>
          <w:smallCaps w:val="false"/>
          <w:sz w:val="20"/>
        </w:rPr>
      </w:pPr>
      <w:r>
        <w:rPr>
          <w:rFonts w:ascii="Times New Roman" w:hAnsi="Times New Roman"/>
          <w:b/>
          <w:i/>
          <w:caps w:val="false"/>
          <w:smallCaps w:val="false"/>
          <w:sz w:val="20"/>
        </w:rPr>
        <w:t>(In thousands, except 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01"/>
        <w:gridCol w:w="60"/>
        <w:gridCol w:w="131"/>
        <w:gridCol w:w="1004"/>
        <w:gridCol w:w="80"/>
        <w:gridCol w:w="60"/>
        <w:gridCol w:w="141"/>
        <w:gridCol w:w="1075"/>
        <w:gridCol w:w="80"/>
        <w:gridCol w:w="60"/>
        <w:gridCol w:w="131"/>
        <w:gridCol w:w="1004"/>
        <w:gridCol w:w="60"/>
        <w:gridCol w:w="60"/>
        <w:gridCol w:w="125"/>
        <w:gridCol w:w="952"/>
        <w:gridCol w:w="80"/>
        <w:gridCol w:w="60"/>
        <w:gridCol w:w="125"/>
        <w:gridCol w:w="952"/>
        <w:gridCol w:w="64"/>
      </w:tblGrid>
      <w:tr>
        <w:trPr/>
        <w:tc>
          <w:tcPr>
            <w:tcW w:w="39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766"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64" w:type="dxa"/>
            <w:tcBorders/>
            <w:shd w:fill="FFFFFF" w:val="cle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 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4" w:type="dxa"/>
            <w:tcBorders/>
            <w:shd w:fill="FFFFFF" w:val="clear"/>
            <w:vAlign w:val="center"/>
          </w:tcPr>
          <w:p>
            <w:pPr>
              <w:pStyle w:val="TableContents"/>
              <w:bidi w:val="0"/>
              <w:spacing w:before="0" w:after="283"/>
              <w:jc w:val="left"/>
              <w:rPr/>
            </w:pPr>
            <w:r>
              <w:rPr/>
              <w:t> </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and dividend income:</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Loans</w:t>
            </w:r>
          </w:p>
        </w:tc>
        <w:tc>
          <w:tcPr>
            <w:tcW w:w="60" w:type="dxa"/>
            <w:tcBorders/>
            <w:shd w:fill="FFFFFF" w:val="clear"/>
            <w:vAlign w:val="center"/>
          </w:tcPr>
          <w:p>
            <w:pPr>
              <w:pStyle w:val="TableContents"/>
              <w:bidi w:val="0"/>
              <w:spacing w:before="0" w:after="283"/>
              <w:ind w:left="0" w:right="0" w:hanging="0"/>
              <w:jc w:val="left"/>
              <w:rPr/>
            </w:pPr>
            <w:r>
              <w:rPr/>
              <w:t> </w:t>
            </w:r>
          </w:p>
        </w:tc>
        <w:tc>
          <w:tcPr>
            <w:tcW w:w="13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50,663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49,938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100,601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93,308</w:t>
            </w:r>
          </w:p>
        </w:tc>
        <w:tc>
          <w:tcPr>
            <w:tcW w:w="64" w:type="dxa"/>
            <w:tcBorders/>
            <w:shd w:fill="FFFFFF" w:val="clear"/>
            <w:vAlign w:val="center"/>
          </w:tcPr>
          <w:p>
            <w:pPr>
              <w:pStyle w:val="TableContents"/>
              <w:bidi w:val="0"/>
              <w:spacing w:before="0" w:after="283"/>
              <w:jc w:val="left"/>
              <w:rPr/>
            </w:pPr>
            <w:r>
              <w:rPr/>
              <w:t> </w:t>
            </w:r>
          </w:p>
        </w:tc>
      </w:tr>
      <w:tr>
        <w:trPr/>
        <w:tc>
          <w:tcPr>
            <w:tcW w:w="3901"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Interest-earning deposits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10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10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10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3,764</w:t>
            </w:r>
          </w:p>
        </w:tc>
        <w:tc>
          <w:tcPr>
            <w:tcW w:w="64" w:type="dxa"/>
            <w:tcBorders/>
            <w:shd w:fill="CCEEFF" w:val="cle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securities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10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10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10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8,349</w:t>
            </w:r>
          </w:p>
        </w:tc>
        <w:tc>
          <w:tcPr>
            <w:tcW w:w="64" w:type="dxa"/>
            <w:tcBorders/>
            <w:shd w:fill="FFFFFF" w:val="clear"/>
            <w:vAlign w:val="center"/>
          </w:tcPr>
          <w:p>
            <w:pPr>
              <w:pStyle w:val="TableContents"/>
              <w:bidi w:val="0"/>
              <w:spacing w:before="0" w:after="283"/>
              <w:jc w:val="left"/>
              <w:rPr/>
            </w:pPr>
            <w:r>
              <w:rPr/>
              <w:t> </w:t>
            </w:r>
          </w:p>
        </w:tc>
      </w:tr>
      <w:tr>
        <w:trPr/>
        <w:tc>
          <w:tcPr>
            <w:tcW w:w="3901"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FHLB stock</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10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10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10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654</w:t>
            </w:r>
          </w:p>
        </w:tc>
        <w:tc>
          <w:tcPr>
            <w:tcW w:w="64" w:type="dxa"/>
            <w:tcBorders/>
            <w:shd w:fill="CCEEFF" w:val="cle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Federal funds sold and other</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w:t>
            </w:r>
          </w:p>
        </w:tc>
        <w:tc>
          <w:tcPr>
            <w:tcW w:w="64" w:type="dxa"/>
            <w:tcBorders/>
            <w:shd w:fill="FFFFFF" w:val="clear"/>
            <w:vAlign w:val="center"/>
          </w:tcPr>
          <w:p>
            <w:pPr>
              <w:pStyle w:val="TableContents"/>
              <w:bidi w:val="0"/>
              <w:spacing w:before="0" w:after="283"/>
              <w:jc w:val="left"/>
              <w:rPr/>
            </w:pPr>
            <w:r>
              <w:rPr/>
              <w:t> </w:t>
            </w:r>
          </w:p>
        </w:tc>
      </w:tr>
      <w:tr>
        <w:trPr/>
        <w:tc>
          <w:tcPr>
            <w:tcW w:w="3901" w:type="dxa"/>
            <w:tcBorders/>
            <w:shd w:fill="CCEEFF" w:val="clear"/>
            <w:vAlign w:val="center"/>
          </w:tcPr>
          <w:p>
            <w:pPr>
              <w:pStyle w:val="TableContents"/>
              <w:bidi w:val="0"/>
              <w:spacing w:before="0" w:after="0"/>
              <w:ind w:left="0" w:right="0" w:firstLine="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interest and dividend income</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57,159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56,803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113,962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106,541</w:t>
            </w:r>
          </w:p>
        </w:tc>
        <w:tc>
          <w:tcPr>
            <w:tcW w:w="64" w:type="dxa"/>
            <w:tcBorders/>
            <w:shd w:fill="CCEEFF" w:val="cle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r>
      <w:tr>
        <w:trPr/>
        <w:tc>
          <w:tcPr>
            <w:tcW w:w="3901"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Savings deposits, NOW and money market accounts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10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10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10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9,035</w:t>
            </w:r>
          </w:p>
        </w:tc>
        <w:tc>
          <w:tcPr>
            <w:tcW w:w="64" w:type="dxa"/>
            <w:tcBorders/>
            <w:shd w:fill="CCEEFF" w:val="cle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Time deposits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10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10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10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38,334</w:t>
            </w:r>
          </w:p>
        </w:tc>
        <w:tc>
          <w:tcPr>
            <w:tcW w:w="64" w:type="dxa"/>
            <w:tcBorders/>
            <w:shd w:fill="FFFFFF" w:val="clear"/>
            <w:vAlign w:val="center"/>
          </w:tcPr>
          <w:p>
            <w:pPr>
              <w:pStyle w:val="TableContents"/>
              <w:bidi w:val="0"/>
              <w:spacing w:before="0" w:after="283"/>
              <w:jc w:val="left"/>
              <w:rPr/>
            </w:pPr>
            <w:r>
              <w:rPr/>
              <w:t> </w:t>
            </w:r>
          </w:p>
        </w:tc>
      </w:tr>
      <w:tr>
        <w:trPr/>
        <w:tc>
          <w:tcPr>
            <w:tcW w:w="3901"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 and subordinated debentures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10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10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10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3,266</w:t>
            </w:r>
          </w:p>
        </w:tc>
        <w:tc>
          <w:tcPr>
            <w:tcW w:w="64" w:type="dxa"/>
            <w:tcBorders/>
            <w:shd w:fill="CCEEFF" w:val="cle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FHLB advances</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2,409</w:t>
            </w:r>
          </w:p>
        </w:tc>
        <w:tc>
          <w:tcPr>
            <w:tcW w:w="64" w:type="dxa"/>
            <w:tcBorders/>
            <w:shd w:fill="FFFFFF" w:val="clear"/>
            <w:vAlign w:val="center"/>
          </w:tcPr>
          <w:p>
            <w:pPr>
              <w:pStyle w:val="TableContents"/>
              <w:bidi w:val="0"/>
              <w:spacing w:before="0" w:after="283"/>
              <w:jc w:val="left"/>
              <w:rPr/>
            </w:pPr>
            <w:r>
              <w:rPr/>
              <w:t> </w:t>
            </w:r>
          </w:p>
        </w:tc>
      </w:tr>
      <w:tr>
        <w:trPr/>
        <w:tc>
          <w:tcPr>
            <w:tcW w:w="3901" w:type="dxa"/>
            <w:tcBorders/>
            <w:shd w:fill="CCEEFF" w:val="clear"/>
            <w:vAlign w:val="center"/>
          </w:tcPr>
          <w:p>
            <w:pPr>
              <w:pStyle w:val="TableContents"/>
              <w:bidi w:val="0"/>
              <w:spacing w:before="0" w:after="0"/>
              <w:ind w:left="0" w:right="0" w:firstLine="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interest expense</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53,044</w:t>
            </w:r>
          </w:p>
        </w:tc>
        <w:tc>
          <w:tcPr>
            <w:tcW w:w="64" w:type="dxa"/>
            <w:tcBorders/>
            <w:shd w:fill="CCEEFF" w:val="cle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0"/>
              <w:ind w:left="0" w:right="0" w:firstLine="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interest income before (reversal of)/provision for credit losses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10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10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10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53,497</w:t>
            </w:r>
          </w:p>
        </w:tc>
        <w:tc>
          <w:tcPr>
            <w:tcW w:w="64" w:type="dxa"/>
            <w:tcBorders/>
            <w:shd w:fill="FFFFFF" w:val="clear"/>
            <w:vAlign w:val="center"/>
          </w:tcPr>
          <w:p>
            <w:pPr>
              <w:pStyle w:val="TableContents"/>
              <w:bidi w:val="0"/>
              <w:spacing w:before="0" w:after="283"/>
              <w:jc w:val="left"/>
              <w:rPr/>
            </w:pPr>
            <w:r>
              <w:rPr/>
              <w:t> </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(Reversal of)/provision for credit losses</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9,133</w:t>
            </w:r>
          </w:p>
        </w:tc>
        <w:tc>
          <w:tcPr>
            <w:tcW w:w="64" w:type="dxa"/>
            <w:tcBorders/>
            <w:shd w:fill="CCEEFF" w:val="cle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0"/>
              <w:ind w:left="0" w:right="0" w:firstLine="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interest income after (reversal of)/provision for credit losses</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60,789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44,364</w:t>
            </w:r>
          </w:p>
        </w:tc>
        <w:tc>
          <w:tcPr>
            <w:tcW w:w="64" w:type="dxa"/>
            <w:tcBorders/>
            <w:shd w:fill="FFFFFF" w:val="clear"/>
            <w:vAlign w:val="center"/>
          </w:tcPr>
          <w:p>
            <w:pPr>
              <w:pStyle w:val="TableContents"/>
              <w:bidi w:val="0"/>
              <w:spacing w:before="0" w:after="283"/>
              <w:jc w:val="left"/>
              <w:rPr/>
            </w:pPr>
            <w:r>
              <w:rPr/>
              <w:t> </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Noninterest income:</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 charges and fees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10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10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10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2,077</w:t>
            </w:r>
          </w:p>
        </w:tc>
        <w:tc>
          <w:tcPr>
            <w:tcW w:w="64" w:type="dxa"/>
            <w:tcBorders/>
            <w:shd w:fill="FFFFFF" w:val="clear"/>
            <w:vAlign w:val="center"/>
          </w:tcPr>
          <w:p>
            <w:pPr>
              <w:pStyle w:val="TableContents"/>
              <w:bidi w:val="0"/>
              <w:spacing w:before="0" w:after="283"/>
              <w:jc w:val="left"/>
              <w:rPr/>
            </w:pPr>
            <w:r>
              <w:rPr/>
              <w:t> </w:t>
            </w:r>
          </w:p>
        </w:tc>
      </w:tr>
      <w:tr>
        <w:trPr/>
        <w:tc>
          <w:tcPr>
            <w:tcW w:w="3901"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 servicing income, net of amortization</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10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10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10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1,129</w:t>
            </w:r>
          </w:p>
        </w:tc>
        <w:tc>
          <w:tcPr>
            <w:tcW w:w="64" w:type="dxa"/>
            <w:tcBorders/>
            <w:shd w:fill="CCEEFF" w:val="cle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Increase in cash surrender value of BOLI</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10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10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10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814</w:t>
            </w:r>
          </w:p>
        </w:tc>
        <w:tc>
          <w:tcPr>
            <w:tcW w:w="64" w:type="dxa"/>
            <w:tcBorders/>
            <w:shd w:fill="FFFFFF" w:val="clear"/>
            <w:vAlign w:val="center"/>
          </w:tcPr>
          <w:p>
            <w:pPr>
              <w:pStyle w:val="TableContents"/>
              <w:bidi w:val="0"/>
              <w:spacing w:before="0" w:after="283"/>
              <w:jc w:val="left"/>
              <w:rPr/>
            </w:pPr>
            <w:r>
              <w:rPr/>
              <w:t> </w:t>
            </w:r>
          </w:p>
        </w:tc>
      </w:tr>
      <w:tr>
        <w:trPr/>
        <w:tc>
          <w:tcPr>
            <w:tcW w:w="3901"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sale of loans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10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10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10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w:t>
            </w:r>
          </w:p>
        </w:tc>
        <w:tc>
          <w:tcPr>
            <w:tcW w:w="64" w:type="dxa"/>
            <w:tcBorders/>
            <w:shd w:fill="CCEEFF" w:val="cle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(Loss)/gain on other real estate owned</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10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10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100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2" w:type="dxa"/>
            <w:tcBorders/>
            <w:shd w:fill="FFFFFF" w:val="clear"/>
            <w:vAlign w:val="center"/>
          </w:tcPr>
          <w:p>
            <w:pPr>
              <w:pStyle w:val="TableContents"/>
              <w:bidi w:val="0"/>
              <w:spacing w:before="0" w:after="283"/>
              <w:ind w:left="0" w:right="0" w:hanging="0"/>
              <w:jc w:val="right"/>
              <w:rPr/>
            </w:pPr>
            <w:r>
              <w:rPr/>
              <w:t>—</w:t>
            </w:r>
          </w:p>
        </w:tc>
        <w:tc>
          <w:tcPr>
            <w:tcW w:w="64" w:type="dxa"/>
            <w:tcBorders/>
            <w:shd w:fill="FFFFFF" w:val="clear"/>
            <w:vAlign w:val="center"/>
          </w:tcPr>
          <w:p>
            <w:pPr>
              <w:pStyle w:val="TableContents"/>
              <w:bidi w:val="0"/>
              <w:spacing w:before="0" w:after="283"/>
              <w:jc w:val="left"/>
              <w:rPr/>
            </w:pPr>
            <w:r>
              <w:rPr/>
              <w:t> </w:t>
            </w:r>
          </w:p>
        </w:tc>
      </w:tr>
      <w:tr>
        <w:trPr/>
        <w:tc>
          <w:tcPr>
            <w:tcW w:w="3901"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6,314</w:t>
            </w:r>
          </w:p>
        </w:tc>
        <w:tc>
          <w:tcPr>
            <w:tcW w:w="64" w:type="dxa"/>
            <w:tcBorders/>
            <w:shd w:fill="CCEEFF" w:val="cle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0"/>
              <w:ind w:left="0" w:right="0" w:firstLine="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noninterest income</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10,773</w:t>
            </w:r>
          </w:p>
        </w:tc>
        <w:tc>
          <w:tcPr>
            <w:tcW w:w="64" w:type="dxa"/>
            <w:tcBorders/>
            <w:shd w:fill="FFFFFF" w:val="clear"/>
            <w:vAlign w:val="center"/>
          </w:tcPr>
          <w:p>
            <w:pPr>
              <w:pStyle w:val="TableContents"/>
              <w:bidi w:val="0"/>
              <w:spacing w:before="0" w:after="283"/>
              <w:jc w:val="left"/>
              <w:rPr/>
            </w:pPr>
            <w:r>
              <w:rPr/>
              <w:t> </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Noninterest expense:</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Salaries and employee benefits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10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10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10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21,723</w:t>
            </w:r>
          </w:p>
        </w:tc>
        <w:tc>
          <w:tcPr>
            <w:tcW w:w="64" w:type="dxa"/>
            <w:tcBorders/>
            <w:shd w:fill="FFFFFF" w:val="clear"/>
            <w:vAlign w:val="center"/>
          </w:tcPr>
          <w:p>
            <w:pPr>
              <w:pStyle w:val="TableContents"/>
              <w:bidi w:val="0"/>
              <w:spacing w:before="0" w:after="283"/>
              <w:jc w:val="left"/>
              <w:rPr/>
            </w:pPr>
            <w:r>
              <w:rPr/>
              <w:t> </w:t>
            </w:r>
          </w:p>
        </w:tc>
      </w:tr>
      <w:tr>
        <w:trPr/>
        <w:tc>
          <w:tcPr>
            <w:tcW w:w="3901"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Occupancy and equipment expenses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10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10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10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4,784</w:t>
            </w:r>
          </w:p>
        </w:tc>
        <w:tc>
          <w:tcPr>
            <w:tcW w:w="64" w:type="dxa"/>
            <w:tcBorders/>
            <w:shd w:fill="CCEEFF" w:val="cle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Data processing</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10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10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10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3,315</w:t>
            </w:r>
          </w:p>
        </w:tc>
        <w:tc>
          <w:tcPr>
            <w:tcW w:w="64" w:type="dxa"/>
            <w:tcBorders/>
            <w:shd w:fill="FFFFFF" w:val="clear"/>
            <w:vAlign w:val="center"/>
          </w:tcPr>
          <w:p>
            <w:pPr>
              <w:pStyle w:val="TableContents"/>
              <w:bidi w:val="0"/>
              <w:spacing w:before="0" w:after="283"/>
              <w:jc w:val="left"/>
              <w:rPr/>
            </w:pPr>
            <w:r>
              <w:rPr/>
              <w:t> </w:t>
            </w:r>
          </w:p>
        </w:tc>
      </w:tr>
      <w:tr>
        <w:trPr/>
        <w:tc>
          <w:tcPr>
            <w:tcW w:w="3901"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Legal and professional</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10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10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10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4,419</w:t>
            </w:r>
          </w:p>
        </w:tc>
        <w:tc>
          <w:tcPr>
            <w:tcW w:w="64" w:type="dxa"/>
            <w:tcBorders/>
            <w:shd w:fill="CCEEFF" w:val="cle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Office expenses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10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10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10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813</w:t>
            </w:r>
          </w:p>
        </w:tc>
        <w:tc>
          <w:tcPr>
            <w:tcW w:w="64" w:type="dxa"/>
            <w:tcBorders/>
            <w:shd w:fill="FFFFFF" w:val="clear"/>
            <w:vAlign w:val="center"/>
          </w:tcPr>
          <w:p>
            <w:pPr>
              <w:pStyle w:val="TableContents"/>
              <w:bidi w:val="0"/>
              <w:spacing w:before="0" w:after="283"/>
              <w:jc w:val="left"/>
              <w:rPr/>
            </w:pPr>
            <w:r>
              <w:rPr/>
              <w:t> </w:t>
            </w:r>
          </w:p>
        </w:tc>
      </w:tr>
      <w:tr>
        <w:trPr/>
        <w:tc>
          <w:tcPr>
            <w:tcW w:w="3901"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Marketing and business promotion</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10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10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10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409</w:t>
            </w:r>
          </w:p>
        </w:tc>
        <w:tc>
          <w:tcPr>
            <w:tcW w:w="64" w:type="dxa"/>
            <w:tcBorders/>
            <w:shd w:fill="CCEEFF" w:val="cle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Insurance and regulatory assessments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10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10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10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1,439</w:t>
            </w:r>
          </w:p>
        </w:tc>
        <w:tc>
          <w:tcPr>
            <w:tcW w:w="64" w:type="dxa"/>
            <w:tcBorders/>
            <w:shd w:fill="FFFFFF" w:val="clear"/>
            <w:vAlign w:val="center"/>
          </w:tcPr>
          <w:p>
            <w:pPr>
              <w:pStyle w:val="TableContents"/>
              <w:bidi w:val="0"/>
              <w:spacing w:before="0" w:after="283"/>
              <w:jc w:val="left"/>
              <w:rPr/>
            </w:pPr>
            <w:r>
              <w:rPr/>
              <w:t> </w:t>
            </w:r>
          </w:p>
        </w:tc>
      </w:tr>
      <w:tr>
        <w:trPr/>
        <w:tc>
          <w:tcPr>
            <w:tcW w:w="3901"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Core deposit intangible amortization</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10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10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10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w:t>
            </w:r>
          </w:p>
        </w:tc>
        <w:tc>
          <w:tcPr>
            <w:tcW w:w="64" w:type="dxa"/>
            <w:tcBorders/>
            <w:shd w:fill="CCEEFF" w:val="cle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expenses</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1,769</w:t>
            </w:r>
          </w:p>
        </w:tc>
        <w:tc>
          <w:tcPr>
            <w:tcW w:w="64" w:type="dxa"/>
            <w:tcBorders/>
            <w:shd w:fill="FFFFFF" w:val="clear"/>
            <w:vAlign w:val="center"/>
          </w:tcPr>
          <w:p>
            <w:pPr>
              <w:pStyle w:val="TableContents"/>
              <w:bidi w:val="0"/>
              <w:spacing w:before="0" w:after="283"/>
              <w:jc w:val="left"/>
              <w:rPr/>
            </w:pPr>
            <w:r>
              <w:rPr/>
              <w:t> </w:t>
            </w:r>
          </w:p>
        </w:tc>
      </w:tr>
      <w:tr>
        <w:trPr/>
        <w:tc>
          <w:tcPr>
            <w:tcW w:w="3901" w:type="dxa"/>
            <w:tcBorders/>
            <w:shd w:fill="CCEEFF" w:val="clear"/>
            <w:vAlign w:val="center"/>
          </w:tcPr>
          <w:p>
            <w:pPr>
              <w:pStyle w:val="TableContents"/>
              <w:bidi w:val="0"/>
              <w:spacing w:before="0" w:after="0"/>
              <w:ind w:left="0" w:right="0" w:firstLine="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noninterest expense</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39,015</w:t>
            </w:r>
          </w:p>
        </w:tc>
        <w:tc>
          <w:tcPr>
            <w:tcW w:w="64" w:type="dxa"/>
            <w:tcBorders/>
            <w:shd w:fill="CCEEFF" w:val="cle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0"/>
              <w:ind w:left="0" w:right="0" w:firstLine="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before income taxes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10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10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10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16,122</w:t>
            </w:r>
          </w:p>
        </w:tc>
        <w:tc>
          <w:tcPr>
            <w:tcW w:w="64" w:type="dxa"/>
            <w:tcBorders/>
            <w:shd w:fill="FFFFFF" w:val="clear"/>
            <w:vAlign w:val="center"/>
          </w:tcPr>
          <w:p>
            <w:pPr>
              <w:pStyle w:val="TableContents"/>
              <w:bidi w:val="0"/>
              <w:spacing w:before="0" w:after="283"/>
              <w:jc w:val="left"/>
              <w:rPr/>
            </w:pPr>
            <w:r>
              <w:rPr/>
              <w:t> </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4,499</w:t>
            </w:r>
          </w:p>
        </w:tc>
        <w:tc>
          <w:tcPr>
            <w:tcW w:w="64" w:type="dxa"/>
            <w:tcBorders/>
            <w:shd w:fill="CCEEFF" w:val="cle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0"/>
              <w:ind w:left="0" w:right="0" w:firstLine="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11,623</w:t>
            </w:r>
          </w:p>
        </w:tc>
        <w:tc>
          <w:tcPr>
            <w:tcW w:w="64" w:type="dxa"/>
            <w:tcBorders/>
            <w:shd w:fill="FFFFFF" w:val="clear"/>
            <w:vAlign w:val="center"/>
          </w:tcPr>
          <w:p>
            <w:pPr>
              <w:pStyle w:val="TableContents"/>
              <w:bidi w:val="0"/>
              <w:spacing w:before="0" w:after="283"/>
              <w:jc w:val="left"/>
              <w:rPr/>
            </w:pPr>
            <w:r>
              <w:rPr/>
              <w:t> </w:t>
            </w:r>
          </w:p>
        </w:tc>
      </w:tr>
      <w:tr>
        <w:trPr/>
        <w:tc>
          <w:tcPr>
            <w:tcW w:w="39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per share</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r>
      <w:tr>
        <w:trPr/>
        <w:tc>
          <w:tcPr>
            <w:tcW w:w="3901"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0.66</w:t>
            </w:r>
          </w:p>
        </w:tc>
        <w:tc>
          <w:tcPr>
            <w:tcW w:w="64" w:type="dxa"/>
            <w:tcBorders/>
            <w:shd w:fill="CCEEFF" w:val="cle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13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0.65</w:t>
            </w:r>
          </w:p>
        </w:tc>
        <w:tc>
          <w:tcPr>
            <w:tcW w:w="64" w:type="dxa"/>
            <w:tcBorders/>
            <w:shd w:fill="FFFFFF" w:val="clear"/>
            <w:vAlign w:val="center"/>
          </w:tcPr>
          <w:p>
            <w:pPr>
              <w:pStyle w:val="TableContents"/>
              <w:bidi w:val="0"/>
              <w:spacing w:before="0" w:after="283"/>
              <w:jc w:val="left"/>
              <w:rPr/>
            </w:pPr>
            <w:r>
              <w:rPr/>
              <w:t> </w:t>
            </w:r>
          </w:p>
        </w:tc>
      </w:tr>
      <w:tr>
        <w:trPr/>
        <w:tc>
          <w:tcPr>
            <w:tcW w:w="39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common shares outstanding</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r>
      <w:tr>
        <w:trPr/>
        <w:tc>
          <w:tcPr>
            <w:tcW w:w="3901"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10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17,011,624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10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17,063,757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10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17,746,607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17,037,546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17,737,212</w:t>
            </w:r>
          </w:p>
        </w:tc>
        <w:tc>
          <w:tcPr>
            <w:tcW w:w="64" w:type="dxa"/>
            <w:tcBorders/>
            <w:shd w:fill="CCEEFF" w:val="cle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10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17,141,742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10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17,174,526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10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17,797,735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17,158,043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17,784,237</w:t>
            </w:r>
          </w:p>
        </w:tc>
        <w:tc>
          <w:tcPr>
            <w:tcW w:w="6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unaudited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RBB BANCORP AND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CONSOLIDATED STATEMENTS OF COMPREHENSIVE INCOME </w:t>
      </w:r>
      <w:r>
        <w:rPr>
          <w:rFonts w:ascii="Times New Roman" w:hAnsi="Times New Roman"/>
          <w:caps w:val="false"/>
          <w:smallCaps w:val="false"/>
          <w:sz w:val="20"/>
        </w:rPr>
        <w:t xml:space="preserve">– </w:t>
      </w:r>
      <w:r>
        <w:rPr>
          <w:rFonts w:ascii="Times New Roman" w:hAnsi="Times New Roman"/>
          <w:b/>
          <w:caps w:val="false"/>
          <w:smallCaps w:val="false"/>
          <w:sz w:val="20"/>
        </w:rPr>
        <w:t>(UNAUDITED)</w:t>
      </w:r>
    </w:p>
    <w:p>
      <w:pPr>
        <w:pStyle w:val="TextBody"/>
        <w:bidi w:val="0"/>
        <w:spacing w:before="0" w:after="0"/>
        <w:ind w:left="160" w:right="0" w:hanging="0"/>
        <w:jc w:val="center"/>
        <w:rPr>
          <w:rFonts w:ascii="Times New Roman" w:hAnsi="Times New Roman"/>
          <w:b/>
          <w:i/>
          <w:caps w:val="false"/>
          <w:smallCaps w:val="false"/>
          <w:sz w:val="20"/>
        </w:rPr>
      </w:pPr>
      <w:r>
        <w:rPr>
          <w:rFonts w:ascii="Times New Roman" w:hAnsi="Times New Roman"/>
          <w:b/>
          <w:i/>
          <w:caps w:val="false"/>
          <w:smallCaps w:val="false"/>
          <w:sz w:val="20"/>
        </w:rPr>
        <w:t>(In thousands)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73"/>
        <w:gridCol w:w="60"/>
        <w:gridCol w:w="189"/>
        <w:gridCol w:w="893"/>
        <w:gridCol w:w="80"/>
        <w:gridCol w:w="60"/>
        <w:gridCol w:w="209"/>
        <w:gridCol w:w="989"/>
        <w:gridCol w:w="80"/>
        <w:gridCol w:w="60"/>
        <w:gridCol w:w="189"/>
        <w:gridCol w:w="893"/>
        <w:gridCol w:w="80"/>
        <w:gridCol w:w="60"/>
        <w:gridCol w:w="189"/>
        <w:gridCol w:w="893"/>
        <w:gridCol w:w="80"/>
        <w:gridCol w:w="60"/>
        <w:gridCol w:w="189"/>
        <w:gridCol w:w="893"/>
        <w:gridCol w:w="86"/>
      </w:tblGrid>
      <w:tr>
        <w:trPr/>
        <w:tc>
          <w:tcPr>
            <w:tcW w:w="39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642"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0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w:t>
            </w:r>
          </w:p>
        </w:tc>
        <w:tc>
          <w:tcPr>
            <w:tcW w:w="86" w:type="dxa"/>
            <w:tcBorders/>
            <w:shd w:fill="FFFFFF" w:val="clear"/>
            <w:vAlign w:val="center"/>
          </w:tcPr>
          <w:p>
            <w:pPr>
              <w:pStyle w:val="TableContents"/>
              <w:bidi w:val="0"/>
              <w:spacing w:before="0" w:after="283"/>
              <w:jc w:val="left"/>
              <w:rPr/>
            </w:pPr>
            <w:r>
              <w:rPr/>
              <w:t> </w:t>
            </w:r>
          </w:p>
        </w:tc>
      </w:tr>
      <w:tr>
        <w:trPr/>
        <w:tc>
          <w:tcPr>
            <w:tcW w:w="39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9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 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2025</w:t>
            </w:r>
          </w:p>
        </w:tc>
        <w:tc>
          <w:tcPr>
            <w:tcW w:w="86" w:type="dxa"/>
            <w:tcBorders/>
            <w:shd w:fill="FFFFFF" w:val="clear"/>
            <w:vAlign w:val="center"/>
          </w:tcPr>
          <w:p>
            <w:pPr>
              <w:pStyle w:val="TableContents"/>
              <w:bidi w:val="0"/>
              <w:spacing w:before="0" w:after="283"/>
              <w:jc w:val="left"/>
              <w:rPr/>
            </w:pPr>
            <w:r>
              <w:rPr/>
              <w:t> </w:t>
            </w:r>
          </w:p>
        </w:tc>
      </w:tr>
      <w:tr>
        <w:trPr/>
        <w:tc>
          <w:tcPr>
            <w:tcW w:w="397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11,623</w:t>
            </w:r>
          </w:p>
        </w:tc>
        <w:tc>
          <w:tcPr>
            <w:tcW w:w="86" w:type="dxa"/>
            <w:tcBorders/>
            <w:shd w:fill="CCEEFF" w:val="clear"/>
            <w:vAlign w:val="center"/>
          </w:tcPr>
          <w:p>
            <w:pPr>
              <w:pStyle w:val="TableContents"/>
              <w:bidi w:val="0"/>
              <w:spacing w:before="0" w:after="283"/>
              <w:jc w:val="left"/>
              <w:rPr/>
            </w:pPr>
            <w:r>
              <w:rPr/>
              <w:t> </w:t>
            </w:r>
          </w:p>
        </w:tc>
      </w:tr>
      <w:tr>
        <w:trPr/>
        <w:tc>
          <w:tcPr>
            <w:tcW w:w="39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r>
      <w:tr>
        <w:trPr/>
        <w:tc>
          <w:tcPr>
            <w:tcW w:w="397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(loss)/income:</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r>
      <w:tr>
        <w:trPr/>
        <w:tc>
          <w:tcPr>
            <w:tcW w:w="3973"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 (loss)/gain on securities available for sale</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8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ind w:left="0" w:right="0" w:hanging="0"/>
              <w:jc w:val="left"/>
              <w:rPr/>
            </w:pPr>
            <w:r>
              <w:rPr/>
              <w:t> </w:t>
            </w:r>
          </w:p>
        </w:tc>
        <w:tc>
          <w:tcPr>
            <w:tcW w:w="9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8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8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8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6,122</w:t>
            </w:r>
          </w:p>
        </w:tc>
        <w:tc>
          <w:tcPr>
            <w:tcW w:w="86" w:type="dxa"/>
            <w:tcBorders/>
            <w:shd w:fill="FFFFFF" w:val="clear"/>
            <w:vAlign w:val="center"/>
          </w:tcPr>
          <w:p>
            <w:pPr>
              <w:pStyle w:val="TableContents"/>
              <w:bidi w:val="0"/>
              <w:spacing w:before="0" w:after="283"/>
              <w:jc w:val="left"/>
              <w:rPr/>
            </w:pPr>
            <w:r>
              <w:rPr/>
              <w:t> </w:t>
            </w:r>
          </w:p>
        </w:tc>
      </w:tr>
      <w:tr>
        <w:trPr/>
        <w:tc>
          <w:tcPr>
            <w:tcW w:w="3973"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Related income tax effect</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(1,878</w:t>
            </w:r>
          </w:p>
        </w:tc>
        <w:tc>
          <w:tcPr>
            <w:tcW w:w="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73"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comprehensive (loss)/income</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4,244</w:t>
            </w:r>
          </w:p>
        </w:tc>
        <w:tc>
          <w:tcPr>
            <w:tcW w:w="86" w:type="dxa"/>
            <w:tcBorders/>
            <w:shd w:fill="FFFFFF" w:val="clear"/>
            <w:vAlign w:val="center"/>
          </w:tcPr>
          <w:p>
            <w:pPr>
              <w:pStyle w:val="TableContents"/>
              <w:bidi w:val="0"/>
              <w:spacing w:before="0" w:after="283"/>
              <w:jc w:val="left"/>
              <w:rPr/>
            </w:pPr>
            <w:r>
              <w:rPr/>
              <w:t> </w:t>
            </w:r>
          </w:p>
        </w:tc>
      </w:tr>
      <w:tr>
        <w:trPr/>
        <w:tc>
          <w:tcPr>
            <w:tcW w:w="397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r>
      <w:tr>
        <w:trPr/>
        <w:tc>
          <w:tcPr>
            <w:tcW w:w="397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comprehensive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15,867</w:t>
            </w:r>
          </w:p>
        </w:tc>
        <w:tc>
          <w:tcPr>
            <w:tcW w:w="86"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unaudited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RBB BANCORP AND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CONSOLIDATED STATEMENTS OF CHANGES IN SHAREHOLDERS</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EQUITY </w:t>
      </w:r>
      <w:r>
        <w:rPr>
          <w:rFonts w:ascii="Times New Roman" w:hAnsi="Times New Roman"/>
          <w:caps w:val="false"/>
          <w:smallCaps w:val="false"/>
          <w:sz w:val="20"/>
        </w:rPr>
        <w:t xml:space="preserve">– </w:t>
      </w:r>
      <w:r>
        <w:rPr>
          <w:rFonts w:ascii="Times New Roman" w:hAnsi="Times New Roman"/>
          <w:b/>
          <w:caps w:val="false"/>
          <w:smallCaps w:val="false"/>
          <w:sz w:val="20"/>
        </w:rPr>
        <w:t>(UNAUDITED)</w:t>
      </w:r>
    </w:p>
    <w:p>
      <w:pPr>
        <w:pStyle w:val="TextBody"/>
        <w:bidi w:val="0"/>
        <w:spacing w:before="0" w:after="0"/>
        <w:ind w:left="160" w:right="0" w:hanging="0"/>
        <w:jc w:val="center"/>
        <w:rPr>
          <w:rFonts w:ascii="Times New Roman" w:hAnsi="Times New Roman"/>
          <w:b/>
          <w:i/>
          <w:caps w:val="false"/>
          <w:smallCaps w:val="false"/>
          <w:sz w:val="20"/>
        </w:rPr>
      </w:pPr>
      <w:r>
        <w:rPr>
          <w:rFonts w:ascii="Times New Roman" w:hAnsi="Times New Roman"/>
          <w:b/>
          <w:i/>
          <w:caps w:val="false"/>
          <w:smallCaps w:val="false"/>
          <w:sz w:val="20"/>
        </w:rPr>
        <w:t>(In thousands, except share amounts)</w:t>
      </w:r>
    </w:p>
    <w:p>
      <w:pPr>
        <w:pStyle w:val="TextBody"/>
        <w:bidi w:val="0"/>
        <w:spacing w:before="0" w:after="0"/>
        <w:ind w:left="16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15"/>
        <w:gridCol w:w="60"/>
        <w:gridCol w:w="60"/>
        <w:gridCol w:w="950"/>
        <w:gridCol w:w="80"/>
        <w:gridCol w:w="60"/>
        <w:gridCol w:w="125"/>
        <w:gridCol w:w="695"/>
        <w:gridCol w:w="80"/>
        <w:gridCol w:w="60"/>
        <w:gridCol w:w="219"/>
        <w:gridCol w:w="960"/>
        <w:gridCol w:w="80"/>
        <w:gridCol w:w="60"/>
        <w:gridCol w:w="147"/>
        <w:gridCol w:w="820"/>
        <w:gridCol w:w="80"/>
        <w:gridCol w:w="60"/>
        <w:gridCol w:w="303"/>
        <w:gridCol w:w="631"/>
        <w:gridCol w:w="60"/>
        <w:gridCol w:w="60"/>
        <w:gridCol w:w="271"/>
        <w:gridCol w:w="1425"/>
        <w:gridCol w:w="80"/>
        <w:gridCol w:w="60"/>
        <w:gridCol w:w="125"/>
        <w:gridCol w:w="695"/>
        <w:gridCol w:w="84"/>
      </w:tblGrid>
      <w:tr>
        <w:trPr/>
        <w:tc>
          <w:tcPr>
            <w:tcW w:w="1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7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Common 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96"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84" w:type="dxa"/>
            <w:tcBorders/>
            <w:shd w:fill="FFFFFF" w:val="clear"/>
            <w:vAlign w:val="center"/>
          </w:tcPr>
          <w:p>
            <w:pPr>
              <w:pStyle w:val="TableContents"/>
              <w:bidi w:val="0"/>
              <w:spacing w:before="0" w:after="283"/>
              <w:jc w:val="left"/>
              <w:rPr/>
            </w:pPr>
            <w:r>
              <w:rPr/>
              <w:t> </w:t>
            </w:r>
          </w:p>
        </w:tc>
      </w:tr>
      <w:tr>
        <w:trPr/>
        <w:tc>
          <w:tcPr>
            <w:tcW w:w="1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Additional Paid-in Capital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Retained Earnings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Non- Controlling Interest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9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Other Comprehensive (Loss)/Income, net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84" w:type="dxa"/>
            <w:tcBorders/>
            <w:shd w:fill="FFFFFF" w:val="clear"/>
            <w:vAlign w:val="center"/>
          </w:tcPr>
          <w:p>
            <w:pPr>
              <w:pStyle w:val="TableContents"/>
              <w:bidi w:val="0"/>
              <w:spacing w:before="0" w:after="283"/>
              <w:jc w:val="left"/>
              <w:rPr/>
            </w:pPr>
            <w:r>
              <w:rPr/>
              <w:t> </w:t>
            </w:r>
          </w:p>
        </w:tc>
      </w:tr>
      <w:tr>
        <w:trPr/>
        <w:tc>
          <w:tcPr>
            <w:tcW w:w="181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at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17,074,159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251,050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290,566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(14,283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531,054</w:t>
            </w:r>
          </w:p>
        </w:tc>
        <w:tc>
          <w:tcPr>
            <w:tcW w:w="84" w:type="dxa"/>
            <w:tcBorders/>
            <w:shd w:fill="CCEEFF" w:val="clear"/>
            <w:vAlign w:val="center"/>
          </w:tcPr>
          <w:p>
            <w:pPr>
              <w:pStyle w:val="TableContents"/>
              <w:bidi w:val="0"/>
              <w:spacing w:before="0" w:after="283"/>
              <w:jc w:val="left"/>
              <w:rPr/>
            </w:pPr>
            <w:r>
              <w:rPr/>
              <w:t> </w:t>
            </w:r>
          </w:p>
        </w:tc>
      </w:tr>
      <w:tr>
        <w:trPr/>
        <w:tc>
          <w:tcPr>
            <w:tcW w:w="18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ind w:left="0" w:right="0" w:hanging="0"/>
              <w:jc w:val="left"/>
              <w:rPr/>
            </w:pPr>
            <w:r>
              <w:rPr/>
              <w:t> </w:t>
            </w:r>
          </w:p>
        </w:tc>
        <w:tc>
          <w:tcPr>
            <w:tcW w:w="96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ind w:left="0" w:right="0" w:hanging="0"/>
              <w:jc w:val="left"/>
              <w:rPr/>
            </w:pPr>
            <w:r>
              <w:rPr/>
              <w:t> </w:t>
            </w:r>
          </w:p>
        </w:tc>
        <w:tc>
          <w:tcPr>
            <w:tcW w:w="63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ind w:left="0" w:right="0" w:hanging="0"/>
              <w:jc w:val="left"/>
              <w:rPr/>
            </w:pPr>
            <w:r>
              <w:rPr/>
              <w:t> </w:t>
            </w:r>
          </w:p>
        </w:tc>
        <w:tc>
          <w:tcPr>
            <w:tcW w:w="142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10,140</w:t>
            </w:r>
          </w:p>
        </w:tc>
        <w:tc>
          <w:tcPr>
            <w:tcW w:w="84" w:type="dxa"/>
            <w:tcBorders/>
            <w:shd w:fill="FFFFFF" w:val="clear"/>
            <w:vAlign w:val="center"/>
          </w:tcPr>
          <w:p>
            <w:pPr>
              <w:pStyle w:val="TableContents"/>
              <w:bidi w:val="0"/>
              <w:spacing w:before="0" w:after="283"/>
              <w:jc w:val="left"/>
              <w:rPr/>
            </w:pPr>
            <w:r>
              <w:rPr/>
              <w:t> </w:t>
            </w:r>
          </w:p>
        </w:tc>
      </w:tr>
      <w:tr>
        <w:trPr/>
        <w:tc>
          <w:tcPr>
            <w:tcW w:w="18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ind w:left="0" w:right="0" w:hanging="0"/>
              <w:jc w:val="left"/>
              <w:rPr/>
            </w:pPr>
            <w:r>
              <w:rPr/>
              <w:t> </w:t>
            </w:r>
          </w:p>
        </w:tc>
        <w:tc>
          <w:tcPr>
            <w:tcW w:w="9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2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ind w:left="0" w:right="0" w:hanging="0"/>
              <w:jc w:val="left"/>
              <w:rPr/>
            </w:pPr>
            <w:r>
              <w:rPr/>
              <w:t> </w:t>
            </w:r>
          </w:p>
        </w:tc>
        <w:tc>
          <w:tcPr>
            <w:tcW w:w="63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ind w:left="0" w:right="0" w:hanging="0"/>
              <w:jc w:val="left"/>
              <w:rPr/>
            </w:pPr>
            <w:r>
              <w:rPr/>
              <w:t> </w:t>
            </w:r>
          </w:p>
        </w:tc>
        <w:tc>
          <w:tcPr>
            <w:tcW w:w="142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697</w:t>
            </w:r>
          </w:p>
        </w:tc>
        <w:tc>
          <w:tcPr>
            <w:tcW w:w="84" w:type="dxa"/>
            <w:tcBorders/>
            <w:shd w:fill="CCEEFF" w:val="clear"/>
            <w:vAlign w:val="center"/>
          </w:tcPr>
          <w:p>
            <w:pPr>
              <w:pStyle w:val="TableContents"/>
              <w:bidi w:val="0"/>
              <w:spacing w:before="0" w:after="283"/>
              <w:jc w:val="left"/>
              <w:rPr/>
            </w:pPr>
            <w:r>
              <w:rPr/>
              <w:t> </w:t>
            </w:r>
          </w:p>
        </w:tc>
      </w:tr>
      <w:tr>
        <w:trPr/>
        <w:tc>
          <w:tcPr>
            <w:tcW w:w="18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stock units vested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ind w:left="0" w:right="0" w:hanging="0"/>
              <w:jc w:val="left"/>
              <w:rPr/>
            </w:pPr>
            <w:r>
              <w:rPr/>
              <w:t> </w:t>
            </w:r>
          </w:p>
        </w:tc>
        <w:tc>
          <w:tcPr>
            <w:tcW w:w="9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2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ind w:left="0" w:right="0" w:hanging="0"/>
              <w:jc w:val="left"/>
              <w:rPr/>
            </w:pPr>
            <w:r>
              <w:rPr/>
              <w:t> </w:t>
            </w:r>
          </w:p>
        </w:tc>
        <w:tc>
          <w:tcPr>
            <w:tcW w:w="63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ind w:left="0" w:right="0" w:hanging="0"/>
              <w:jc w:val="left"/>
              <w:rPr/>
            </w:pPr>
            <w:r>
              <w:rPr/>
              <w:t> </w:t>
            </w:r>
          </w:p>
        </w:tc>
        <w:tc>
          <w:tcPr>
            <w:tcW w:w="142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w:t>
            </w:r>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8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dividends on common stock ($0.16 per share)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ind w:left="0" w:right="0" w:hanging="0"/>
              <w:jc w:val="left"/>
              <w:rPr/>
            </w:pPr>
            <w:r>
              <w:rPr/>
              <w:t> </w:t>
            </w:r>
          </w:p>
        </w:tc>
        <w:tc>
          <w:tcPr>
            <w:tcW w:w="96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ind w:left="0" w:right="0" w:hanging="0"/>
              <w:jc w:val="left"/>
              <w:rPr/>
            </w:pPr>
            <w:r>
              <w:rPr/>
              <w:t> </w:t>
            </w:r>
          </w:p>
        </w:tc>
        <w:tc>
          <w:tcPr>
            <w:tcW w:w="63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ind w:left="0" w:right="0" w:hanging="0"/>
              <w:jc w:val="left"/>
              <w:rPr/>
            </w:pPr>
            <w:r>
              <w:rPr/>
              <w:t> </w:t>
            </w:r>
          </w:p>
        </w:tc>
        <w:tc>
          <w:tcPr>
            <w:tcW w:w="142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(2,762</w:t>
            </w:r>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8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options exercised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2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1,035</w:t>
            </w:r>
          </w:p>
        </w:tc>
        <w:tc>
          <w:tcPr>
            <w:tcW w:w="84" w:type="dxa"/>
            <w:tcBorders/>
            <w:shd w:fill="FFFFFF" w:val="clear"/>
            <w:vAlign w:val="center"/>
          </w:tcPr>
          <w:p>
            <w:pPr>
              <w:pStyle w:val="TableContents"/>
              <w:bidi w:val="0"/>
              <w:spacing w:before="0" w:after="283"/>
              <w:jc w:val="left"/>
              <w:rPr/>
            </w:pPr>
            <w:r>
              <w:rPr/>
              <w:t> </w:t>
            </w:r>
          </w:p>
        </w:tc>
      </w:tr>
      <w:tr>
        <w:trPr/>
        <w:tc>
          <w:tcPr>
            <w:tcW w:w="18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Repurchase of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(180,576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(2,645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(1,825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(4,470</w:t>
            </w:r>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8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loss, net of taxes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w:t>
            </w:r>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81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at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16,985,919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250,590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296,119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(14,608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535,177</w:t>
            </w:r>
          </w:p>
        </w:tc>
        <w:tc>
          <w:tcPr>
            <w:tcW w:w="84" w:type="dxa"/>
            <w:tcBorders/>
            <w:shd w:fill="CCEEFF" w:val="clear"/>
            <w:vAlign w:val="center"/>
          </w:tcPr>
          <w:p>
            <w:pPr>
              <w:pStyle w:val="TableContents"/>
              <w:bidi w:val="0"/>
              <w:spacing w:before="0" w:after="283"/>
              <w:jc w:val="left"/>
              <w:rPr/>
            </w:pPr>
            <w:r>
              <w:rPr/>
              <w:t> </w:t>
            </w:r>
          </w:p>
        </w:tc>
      </w:tr>
      <w:tr>
        <w:trPr/>
        <w:tc>
          <w:tcPr>
            <w:tcW w:w="1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2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181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at March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17,738,628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260,284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263,885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(17,295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510,306</w:t>
            </w:r>
          </w:p>
        </w:tc>
        <w:tc>
          <w:tcPr>
            <w:tcW w:w="84" w:type="dxa"/>
            <w:tcBorders/>
            <w:shd w:fill="CCEEFF" w:val="clear"/>
            <w:vAlign w:val="center"/>
          </w:tcPr>
          <w:p>
            <w:pPr>
              <w:pStyle w:val="TableContents"/>
              <w:bidi w:val="0"/>
              <w:spacing w:before="0" w:after="283"/>
              <w:jc w:val="left"/>
              <w:rPr/>
            </w:pPr>
            <w:r>
              <w:rPr/>
              <w:t> </w:t>
            </w:r>
          </w:p>
        </w:tc>
      </w:tr>
      <w:tr>
        <w:trPr/>
        <w:tc>
          <w:tcPr>
            <w:tcW w:w="18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ind w:left="0" w:right="0" w:hanging="0"/>
              <w:jc w:val="left"/>
              <w:rPr/>
            </w:pPr>
            <w:r>
              <w:rPr/>
              <w:t> </w:t>
            </w:r>
          </w:p>
        </w:tc>
        <w:tc>
          <w:tcPr>
            <w:tcW w:w="96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ind w:left="0" w:right="0" w:hanging="0"/>
              <w:jc w:val="left"/>
              <w:rPr/>
            </w:pPr>
            <w:r>
              <w:rPr/>
              <w:t> </w:t>
            </w:r>
          </w:p>
        </w:tc>
        <w:tc>
          <w:tcPr>
            <w:tcW w:w="63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ind w:left="0" w:right="0" w:hanging="0"/>
              <w:jc w:val="left"/>
              <w:rPr/>
            </w:pPr>
            <w:r>
              <w:rPr/>
              <w:t> </w:t>
            </w:r>
          </w:p>
        </w:tc>
        <w:tc>
          <w:tcPr>
            <w:tcW w:w="142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9,333</w:t>
            </w:r>
          </w:p>
        </w:tc>
        <w:tc>
          <w:tcPr>
            <w:tcW w:w="84" w:type="dxa"/>
            <w:tcBorders/>
            <w:shd w:fill="FFFFFF" w:val="clear"/>
            <w:vAlign w:val="center"/>
          </w:tcPr>
          <w:p>
            <w:pPr>
              <w:pStyle w:val="TableContents"/>
              <w:bidi w:val="0"/>
              <w:spacing w:before="0" w:after="283"/>
              <w:jc w:val="left"/>
              <w:rPr/>
            </w:pPr>
            <w:r>
              <w:rPr/>
              <w:t> </w:t>
            </w:r>
          </w:p>
        </w:tc>
      </w:tr>
      <w:tr>
        <w:trPr/>
        <w:tc>
          <w:tcPr>
            <w:tcW w:w="18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ind w:left="0" w:right="0" w:hanging="0"/>
              <w:jc w:val="left"/>
              <w:rPr/>
            </w:pPr>
            <w:r>
              <w:rPr/>
              <w:t> </w:t>
            </w:r>
          </w:p>
        </w:tc>
        <w:tc>
          <w:tcPr>
            <w:tcW w:w="9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2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ind w:left="0" w:right="0" w:hanging="0"/>
              <w:jc w:val="left"/>
              <w:rPr/>
            </w:pPr>
            <w:r>
              <w:rPr/>
              <w:t> </w:t>
            </w:r>
          </w:p>
        </w:tc>
        <w:tc>
          <w:tcPr>
            <w:tcW w:w="63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ind w:left="0" w:right="0" w:hanging="0"/>
              <w:jc w:val="left"/>
              <w:rPr/>
            </w:pPr>
            <w:r>
              <w:rPr/>
              <w:t> </w:t>
            </w:r>
          </w:p>
        </w:tc>
        <w:tc>
          <w:tcPr>
            <w:tcW w:w="142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925</w:t>
            </w:r>
          </w:p>
        </w:tc>
        <w:tc>
          <w:tcPr>
            <w:tcW w:w="84" w:type="dxa"/>
            <w:tcBorders/>
            <w:shd w:fill="CCEEFF" w:val="clear"/>
            <w:vAlign w:val="center"/>
          </w:tcPr>
          <w:p>
            <w:pPr>
              <w:pStyle w:val="TableContents"/>
              <w:bidi w:val="0"/>
              <w:spacing w:before="0" w:after="283"/>
              <w:jc w:val="left"/>
              <w:rPr/>
            </w:pPr>
            <w:r>
              <w:rPr/>
              <w:t> </w:t>
            </w:r>
          </w:p>
        </w:tc>
      </w:tr>
      <w:tr>
        <w:trPr/>
        <w:tc>
          <w:tcPr>
            <w:tcW w:w="18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stock units vested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ind w:left="0" w:right="0" w:hanging="0"/>
              <w:jc w:val="left"/>
              <w:rPr/>
            </w:pPr>
            <w:r>
              <w:rPr/>
              <w:t> </w:t>
            </w:r>
          </w:p>
        </w:tc>
        <w:tc>
          <w:tcPr>
            <w:tcW w:w="9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2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ind w:left="0" w:right="0" w:hanging="0"/>
              <w:jc w:val="left"/>
              <w:rPr/>
            </w:pPr>
            <w:r>
              <w:rPr/>
              <w:t> </w:t>
            </w:r>
          </w:p>
        </w:tc>
        <w:tc>
          <w:tcPr>
            <w:tcW w:w="63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ind w:left="0" w:right="0" w:hanging="0"/>
              <w:jc w:val="left"/>
              <w:rPr/>
            </w:pPr>
            <w:r>
              <w:rPr/>
              <w:t> </w:t>
            </w:r>
          </w:p>
        </w:tc>
        <w:tc>
          <w:tcPr>
            <w:tcW w:w="142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8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dividends on common stock ($0.16 per share)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ind w:left="0" w:right="0" w:hanging="0"/>
              <w:jc w:val="left"/>
              <w:rPr/>
            </w:pPr>
            <w:r>
              <w:rPr/>
              <w:t> </w:t>
            </w:r>
          </w:p>
        </w:tc>
        <w:tc>
          <w:tcPr>
            <w:tcW w:w="96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ind w:left="0" w:right="0" w:hanging="0"/>
              <w:jc w:val="left"/>
              <w:rPr/>
            </w:pPr>
            <w:r>
              <w:rPr/>
              <w:t> </w:t>
            </w:r>
          </w:p>
        </w:tc>
        <w:tc>
          <w:tcPr>
            <w:tcW w:w="63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ind w:left="0" w:right="0" w:hanging="0"/>
              <w:jc w:val="left"/>
              <w:rPr/>
            </w:pPr>
            <w:r>
              <w:rPr/>
              <w:t> </w:t>
            </w:r>
          </w:p>
        </w:tc>
        <w:tc>
          <w:tcPr>
            <w:tcW w:w="142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(2,854</w:t>
            </w:r>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8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options exercised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ind w:left="0" w:right="0" w:hanging="0"/>
              <w:jc w:val="left"/>
              <w:rPr/>
            </w:pPr>
            <w:r>
              <w:rPr/>
              <w:t> </w:t>
            </w:r>
          </w:p>
        </w:tc>
        <w:tc>
          <w:tcPr>
            <w:tcW w:w="9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2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ind w:left="0" w:right="0" w:hanging="0"/>
              <w:jc w:val="left"/>
              <w:rPr/>
            </w:pPr>
            <w:r>
              <w:rPr/>
              <w:t> </w:t>
            </w:r>
          </w:p>
        </w:tc>
        <w:tc>
          <w:tcPr>
            <w:tcW w:w="63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ind w:left="0" w:right="0" w:hanging="0"/>
              <w:jc w:val="left"/>
              <w:rPr/>
            </w:pPr>
            <w:r>
              <w:rPr/>
              <w:t> </w:t>
            </w:r>
          </w:p>
        </w:tc>
        <w:tc>
          <w:tcPr>
            <w:tcW w:w="142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w:t>
            </w:r>
          </w:p>
        </w:tc>
        <w:tc>
          <w:tcPr>
            <w:tcW w:w="84" w:type="dxa"/>
            <w:tcBorders/>
            <w:shd w:fill="FFFFFF" w:val="clear"/>
            <w:vAlign w:val="center"/>
          </w:tcPr>
          <w:p>
            <w:pPr>
              <w:pStyle w:val="TableContents"/>
              <w:bidi w:val="0"/>
              <w:spacing w:before="0" w:after="283"/>
              <w:jc w:val="left"/>
              <w:rPr/>
            </w:pPr>
            <w:r>
              <w:rPr/>
              <w:t> </w:t>
            </w:r>
          </w:p>
        </w:tc>
      </w:tr>
      <w:tr>
        <w:trPr/>
        <w:tc>
          <w:tcPr>
            <w:tcW w:w="18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Repurchase of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(87,731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ind w:left="0" w:right="0" w:hanging="0"/>
              <w:jc w:val="left"/>
              <w:rPr/>
            </w:pPr>
            <w:r>
              <w:rPr/>
              <w:t> </w:t>
            </w:r>
          </w:p>
        </w:tc>
        <w:tc>
          <w:tcPr>
            <w:tcW w:w="96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ind w:left="0" w:right="0" w:hanging="0"/>
              <w:jc w:val="left"/>
              <w:rPr/>
            </w:pPr>
            <w:r>
              <w:rPr/>
              <w:t> </w:t>
            </w:r>
          </w:p>
        </w:tc>
        <w:tc>
          <w:tcPr>
            <w:tcW w:w="63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ind w:left="0" w:right="0" w:hanging="0"/>
              <w:jc w:val="left"/>
              <w:rPr/>
            </w:pPr>
            <w:r>
              <w:rPr/>
              <w:t> </w:t>
            </w:r>
          </w:p>
        </w:tc>
        <w:tc>
          <w:tcPr>
            <w:tcW w:w="142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(1,499</w:t>
            </w:r>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8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net of taxes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1,282</w:t>
            </w:r>
          </w:p>
        </w:tc>
        <w:tc>
          <w:tcPr>
            <w:tcW w:w="84" w:type="dxa"/>
            <w:tcBorders/>
            <w:shd w:fill="FFFFFF" w:val="clear"/>
            <w:vAlign w:val="center"/>
          </w:tcPr>
          <w:p>
            <w:pPr>
              <w:pStyle w:val="TableContents"/>
              <w:bidi w:val="0"/>
              <w:spacing w:before="0" w:after="283"/>
              <w:jc w:val="left"/>
              <w:rPr/>
            </w:pPr>
            <w:r>
              <w:rPr/>
              <w:t> </w:t>
            </w:r>
          </w:p>
        </w:tc>
      </w:tr>
      <w:tr>
        <w:trPr/>
        <w:tc>
          <w:tcPr>
            <w:tcW w:w="181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at June 30,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17,699,091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259,863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270,152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(16,013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517,653</w:t>
            </w:r>
          </w:p>
        </w:tc>
        <w:tc>
          <w:tcPr>
            <w:tcW w:w="8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15"/>
        <w:gridCol w:w="60"/>
        <w:gridCol w:w="60"/>
        <w:gridCol w:w="950"/>
        <w:gridCol w:w="80"/>
        <w:gridCol w:w="60"/>
        <w:gridCol w:w="125"/>
        <w:gridCol w:w="695"/>
        <w:gridCol w:w="80"/>
        <w:gridCol w:w="60"/>
        <w:gridCol w:w="219"/>
        <w:gridCol w:w="960"/>
        <w:gridCol w:w="80"/>
        <w:gridCol w:w="60"/>
        <w:gridCol w:w="147"/>
        <w:gridCol w:w="820"/>
        <w:gridCol w:w="80"/>
        <w:gridCol w:w="60"/>
        <w:gridCol w:w="303"/>
        <w:gridCol w:w="631"/>
        <w:gridCol w:w="60"/>
        <w:gridCol w:w="60"/>
        <w:gridCol w:w="271"/>
        <w:gridCol w:w="1425"/>
        <w:gridCol w:w="80"/>
        <w:gridCol w:w="60"/>
        <w:gridCol w:w="125"/>
        <w:gridCol w:w="695"/>
        <w:gridCol w:w="84"/>
      </w:tblGrid>
      <w:tr>
        <w:trPr/>
        <w:tc>
          <w:tcPr>
            <w:tcW w:w="1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7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Common 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96"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84" w:type="dxa"/>
            <w:tcBorders/>
            <w:shd w:fill="FFFFFF" w:val="clear"/>
            <w:vAlign w:val="center"/>
          </w:tcPr>
          <w:p>
            <w:pPr>
              <w:pStyle w:val="TableContents"/>
              <w:bidi w:val="0"/>
              <w:spacing w:before="0" w:after="283"/>
              <w:jc w:val="left"/>
              <w:rPr/>
            </w:pPr>
            <w:r>
              <w:rPr/>
              <w:t> </w:t>
            </w:r>
          </w:p>
        </w:tc>
      </w:tr>
      <w:tr>
        <w:trPr/>
        <w:tc>
          <w:tcPr>
            <w:tcW w:w="1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Additional Paid-in Capital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Retained Earnings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Non- Controlling Interest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9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Other Comprehensive (Loss)/Income, net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84" w:type="dxa"/>
            <w:tcBorders/>
            <w:shd w:fill="FFFFFF" w:val="clear"/>
            <w:vAlign w:val="center"/>
          </w:tcPr>
          <w:p>
            <w:pPr>
              <w:pStyle w:val="TableContents"/>
              <w:bidi w:val="0"/>
              <w:spacing w:before="0" w:after="283"/>
              <w:jc w:val="left"/>
              <w:rPr/>
            </w:pPr>
            <w:r>
              <w:rPr/>
              <w:t> </w:t>
            </w:r>
          </w:p>
        </w:tc>
      </w:tr>
      <w:tr>
        <w:trPr/>
        <w:tc>
          <w:tcPr>
            <w:tcW w:w="181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at January 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17,057,397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250,694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282,024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(13,321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523,410</w:t>
            </w:r>
          </w:p>
        </w:tc>
        <w:tc>
          <w:tcPr>
            <w:tcW w:w="84" w:type="dxa"/>
            <w:tcBorders/>
            <w:shd w:fill="CCEEFF" w:val="clear"/>
            <w:vAlign w:val="center"/>
          </w:tcPr>
          <w:p>
            <w:pPr>
              <w:pStyle w:val="TableContents"/>
              <w:bidi w:val="0"/>
              <w:spacing w:before="0" w:after="283"/>
              <w:jc w:val="left"/>
              <w:rPr/>
            </w:pPr>
            <w:r>
              <w:rPr/>
              <w:t> </w:t>
            </w:r>
          </w:p>
        </w:tc>
      </w:tr>
      <w:tr>
        <w:trPr/>
        <w:tc>
          <w:tcPr>
            <w:tcW w:w="18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ind w:left="0" w:right="0" w:hanging="0"/>
              <w:jc w:val="left"/>
              <w:rPr/>
            </w:pPr>
            <w:r>
              <w:rPr/>
              <w:t> </w:t>
            </w:r>
          </w:p>
        </w:tc>
        <w:tc>
          <w:tcPr>
            <w:tcW w:w="96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ind w:left="0" w:right="0" w:hanging="0"/>
              <w:jc w:val="left"/>
              <w:rPr/>
            </w:pPr>
            <w:r>
              <w:rPr/>
              <w:t> </w:t>
            </w:r>
          </w:p>
        </w:tc>
        <w:tc>
          <w:tcPr>
            <w:tcW w:w="63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ind w:left="0" w:right="0" w:hanging="0"/>
              <w:jc w:val="left"/>
              <w:rPr/>
            </w:pPr>
            <w:r>
              <w:rPr/>
              <w:t> </w:t>
            </w:r>
          </w:p>
        </w:tc>
        <w:tc>
          <w:tcPr>
            <w:tcW w:w="142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21,440</w:t>
            </w:r>
          </w:p>
        </w:tc>
        <w:tc>
          <w:tcPr>
            <w:tcW w:w="84" w:type="dxa"/>
            <w:tcBorders/>
            <w:shd w:fill="FFFFFF" w:val="clear"/>
            <w:vAlign w:val="center"/>
          </w:tcPr>
          <w:p>
            <w:pPr>
              <w:pStyle w:val="TableContents"/>
              <w:bidi w:val="0"/>
              <w:spacing w:before="0" w:after="283"/>
              <w:jc w:val="left"/>
              <w:rPr/>
            </w:pPr>
            <w:r>
              <w:rPr/>
              <w:t> </w:t>
            </w:r>
          </w:p>
        </w:tc>
      </w:tr>
      <w:tr>
        <w:trPr/>
        <w:tc>
          <w:tcPr>
            <w:tcW w:w="18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ind w:left="0" w:right="0" w:hanging="0"/>
              <w:jc w:val="left"/>
              <w:rPr/>
            </w:pPr>
            <w:r>
              <w:rPr/>
              <w:t> </w:t>
            </w:r>
          </w:p>
        </w:tc>
        <w:tc>
          <w:tcPr>
            <w:tcW w:w="9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2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ind w:left="0" w:right="0" w:hanging="0"/>
              <w:jc w:val="left"/>
              <w:rPr/>
            </w:pPr>
            <w:r>
              <w:rPr/>
              <w:t> </w:t>
            </w:r>
          </w:p>
        </w:tc>
        <w:tc>
          <w:tcPr>
            <w:tcW w:w="63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ind w:left="0" w:right="0" w:hanging="0"/>
              <w:jc w:val="left"/>
              <w:rPr/>
            </w:pPr>
            <w:r>
              <w:rPr/>
              <w:t> </w:t>
            </w:r>
          </w:p>
        </w:tc>
        <w:tc>
          <w:tcPr>
            <w:tcW w:w="142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974</w:t>
            </w:r>
          </w:p>
        </w:tc>
        <w:tc>
          <w:tcPr>
            <w:tcW w:w="84" w:type="dxa"/>
            <w:tcBorders/>
            <w:shd w:fill="CCEEFF" w:val="clear"/>
            <w:vAlign w:val="center"/>
          </w:tcPr>
          <w:p>
            <w:pPr>
              <w:pStyle w:val="TableContents"/>
              <w:bidi w:val="0"/>
              <w:spacing w:before="0" w:after="283"/>
              <w:jc w:val="left"/>
              <w:rPr/>
            </w:pPr>
            <w:r>
              <w:rPr/>
              <w:t> </w:t>
            </w:r>
          </w:p>
        </w:tc>
      </w:tr>
      <w:tr>
        <w:trPr/>
        <w:tc>
          <w:tcPr>
            <w:tcW w:w="18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stock units vested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ind w:left="0" w:right="0" w:hanging="0"/>
              <w:jc w:val="left"/>
              <w:rPr/>
            </w:pPr>
            <w:r>
              <w:rPr/>
              <w:t> </w:t>
            </w:r>
          </w:p>
        </w:tc>
        <w:tc>
          <w:tcPr>
            <w:tcW w:w="9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2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ind w:left="0" w:right="0" w:hanging="0"/>
              <w:jc w:val="left"/>
              <w:rPr/>
            </w:pPr>
            <w:r>
              <w:rPr/>
              <w:t> </w:t>
            </w:r>
          </w:p>
        </w:tc>
        <w:tc>
          <w:tcPr>
            <w:tcW w:w="63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ind w:left="0" w:right="0" w:hanging="0"/>
              <w:jc w:val="left"/>
              <w:rPr/>
            </w:pPr>
            <w:r>
              <w:rPr/>
              <w:t> </w:t>
            </w:r>
          </w:p>
        </w:tc>
        <w:tc>
          <w:tcPr>
            <w:tcW w:w="142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w:t>
            </w:r>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8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dividends on common stock ($0.32 per share)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ind w:left="0" w:right="0" w:hanging="0"/>
              <w:jc w:val="left"/>
              <w:rPr/>
            </w:pPr>
            <w:r>
              <w:rPr/>
              <w:t> </w:t>
            </w:r>
          </w:p>
        </w:tc>
        <w:tc>
          <w:tcPr>
            <w:tcW w:w="96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ind w:left="0" w:right="0" w:hanging="0"/>
              <w:jc w:val="left"/>
              <w:rPr/>
            </w:pPr>
            <w:r>
              <w:rPr/>
              <w:t> </w:t>
            </w:r>
          </w:p>
        </w:tc>
        <w:tc>
          <w:tcPr>
            <w:tcW w:w="63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ind w:left="0" w:right="0" w:hanging="0"/>
              <w:jc w:val="left"/>
              <w:rPr/>
            </w:pPr>
            <w:r>
              <w:rPr/>
              <w:t> </w:t>
            </w:r>
          </w:p>
        </w:tc>
        <w:tc>
          <w:tcPr>
            <w:tcW w:w="142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(5,520</w:t>
            </w:r>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8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options exercised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ind w:left="0" w:right="0" w:hanging="0"/>
              <w:jc w:val="left"/>
              <w:rPr/>
            </w:pPr>
            <w:r>
              <w:rPr/>
              <w:t> </w:t>
            </w:r>
          </w:p>
        </w:tc>
        <w:tc>
          <w:tcPr>
            <w:tcW w:w="9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2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ind w:left="0" w:right="0" w:hanging="0"/>
              <w:jc w:val="left"/>
              <w:rPr/>
            </w:pPr>
            <w:r>
              <w:rPr/>
              <w:t> </w:t>
            </w:r>
          </w:p>
        </w:tc>
        <w:tc>
          <w:tcPr>
            <w:tcW w:w="63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ind w:left="0" w:right="0" w:hanging="0"/>
              <w:jc w:val="left"/>
              <w:rPr/>
            </w:pPr>
            <w:r>
              <w:rPr/>
              <w:t> </w:t>
            </w:r>
          </w:p>
        </w:tc>
        <w:tc>
          <w:tcPr>
            <w:tcW w:w="142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1,035</w:t>
            </w:r>
          </w:p>
        </w:tc>
        <w:tc>
          <w:tcPr>
            <w:tcW w:w="84" w:type="dxa"/>
            <w:tcBorders/>
            <w:shd w:fill="FFFFFF" w:val="clear"/>
            <w:vAlign w:val="center"/>
          </w:tcPr>
          <w:p>
            <w:pPr>
              <w:pStyle w:val="TableContents"/>
              <w:bidi w:val="0"/>
              <w:spacing w:before="0" w:after="283"/>
              <w:jc w:val="left"/>
              <w:rPr/>
            </w:pPr>
            <w:r>
              <w:rPr/>
              <w:t> </w:t>
            </w:r>
          </w:p>
        </w:tc>
      </w:tr>
      <w:tr>
        <w:trPr/>
        <w:tc>
          <w:tcPr>
            <w:tcW w:w="18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Repurchase of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(180,576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ind w:left="0" w:right="0" w:hanging="0"/>
              <w:jc w:val="left"/>
              <w:rPr/>
            </w:pPr>
            <w:r>
              <w:rPr/>
              <w:t> </w:t>
            </w:r>
          </w:p>
        </w:tc>
        <w:tc>
          <w:tcPr>
            <w:tcW w:w="96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ind w:left="0" w:right="0" w:hanging="0"/>
              <w:jc w:val="left"/>
              <w:rPr/>
            </w:pPr>
            <w:r>
              <w:rPr/>
              <w:t> </w:t>
            </w:r>
          </w:p>
        </w:tc>
        <w:tc>
          <w:tcPr>
            <w:tcW w:w="63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ind w:left="0" w:right="0" w:hanging="0"/>
              <w:jc w:val="left"/>
              <w:rPr/>
            </w:pPr>
            <w:r>
              <w:rPr/>
              <w:t> </w:t>
            </w:r>
          </w:p>
        </w:tc>
        <w:tc>
          <w:tcPr>
            <w:tcW w:w="142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(4,470</w:t>
            </w:r>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8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loss, net of taxes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(1,287</w:t>
            </w:r>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81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at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16,985,919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250,590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296,119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(14,608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535,177</w:t>
            </w:r>
          </w:p>
        </w:tc>
        <w:tc>
          <w:tcPr>
            <w:tcW w:w="84" w:type="dxa"/>
            <w:tcBorders/>
            <w:shd w:fill="CCEEFF" w:val="clear"/>
            <w:vAlign w:val="center"/>
          </w:tcPr>
          <w:p>
            <w:pPr>
              <w:pStyle w:val="TableContents"/>
              <w:bidi w:val="0"/>
              <w:spacing w:before="0" w:after="283"/>
              <w:jc w:val="left"/>
              <w:rPr/>
            </w:pPr>
            <w:r>
              <w:rPr/>
              <w:t> </w:t>
            </w:r>
          </w:p>
        </w:tc>
      </w:tr>
      <w:tr>
        <w:trPr/>
        <w:tc>
          <w:tcPr>
            <w:tcW w:w="1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2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181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at January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17,720,416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259,957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264,460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(20,257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507,877</w:t>
            </w:r>
          </w:p>
        </w:tc>
        <w:tc>
          <w:tcPr>
            <w:tcW w:w="84" w:type="dxa"/>
            <w:tcBorders/>
            <w:shd w:fill="CCEEFF" w:val="clear"/>
            <w:vAlign w:val="center"/>
          </w:tcPr>
          <w:p>
            <w:pPr>
              <w:pStyle w:val="TableContents"/>
              <w:bidi w:val="0"/>
              <w:spacing w:before="0" w:after="283"/>
              <w:jc w:val="left"/>
              <w:rPr/>
            </w:pPr>
            <w:r>
              <w:rPr/>
              <w:t> </w:t>
            </w:r>
          </w:p>
        </w:tc>
      </w:tr>
      <w:tr>
        <w:trPr/>
        <w:tc>
          <w:tcPr>
            <w:tcW w:w="18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ind w:left="0" w:right="0" w:hanging="0"/>
              <w:jc w:val="left"/>
              <w:rPr/>
            </w:pPr>
            <w:r>
              <w:rPr/>
              <w:t> </w:t>
            </w:r>
          </w:p>
        </w:tc>
        <w:tc>
          <w:tcPr>
            <w:tcW w:w="96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ind w:left="0" w:right="0" w:hanging="0"/>
              <w:jc w:val="left"/>
              <w:rPr/>
            </w:pPr>
            <w:r>
              <w:rPr/>
              <w:t> </w:t>
            </w:r>
          </w:p>
        </w:tc>
        <w:tc>
          <w:tcPr>
            <w:tcW w:w="63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ind w:left="0" w:right="0" w:hanging="0"/>
              <w:jc w:val="left"/>
              <w:rPr/>
            </w:pPr>
            <w:r>
              <w:rPr/>
              <w:t> </w:t>
            </w:r>
          </w:p>
        </w:tc>
        <w:tc>
          <w:tcPr>
            <w:tcW w:w="142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11,623</w:t>
            </w:r>
          </w:p>
        </w:tc>
        <w:tc>
          <w:tcPr>
            <w:tcW w:w="84" w:type="dxa"/>
            <w:tcBorders/>
            <w:shd w:fill="FFFFFF" w:val="clear"/>
            <w:vAlign w:val="center"/>
          </w:tcPr>
          <w:p>
            <w:pPr>
              <w:pStyle w:val="TableContents"/>
              <w:bidi w:val="0"/>
              <w:spacing w:before="0" w:after="283"/>
              <w:jc w:val="left"/>
              <w:rPr/>
            </w:pPr>
            <w:r>
              <w:rPr/>
              <w:t> </w:t>
            </w:r>
          </w:p>
        </w:tc>
      </w:tr>
      <w:tr>
        <w:trPr/>
        <w:tc>
          <w:tcPr>
            <w:tcW w:w="18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ind w:left="0" w:right="0" w:hanging="0"/>
              <w:jc w:val="left"/>
              <w:rPr/>
            </w:pPr>
            <w:r>
              <w:rPr/>
              <w:t> </w:t>
            </w:r>
          </w:p>
        </w:tc>
        <w:tc>
          <w:tcPr>
            <w:tcW w:w="9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2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ind w:left="0" w:right="0" w:hanging="0"/>
              <w:jc w:val="left"/>
              <w:rPr/>
            </w:pPr>
            <w:r>
              <w:rPr/>
              <w:t> </w:t>
            </w:r>
          </w:p>
        </w:tc>
        <w:tc>
          <w:tcPr>
            <w:tcW w:w="63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ind w:left="0" w:right="0" w:hanging="0"/>
              <w:jc w:val="left"/>
              <w:rPr/>
            </w:pPr>
            <w:r>
              <w:rPr/>
              <w:t> </w:t>
            </w:r>
          </w:p>
        </w:tc>
        <w:tc>
          <w:tcPr>
            <w:tcW w:w="142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1,180</w:t>
            </w:r>
          </w:p>
        </w:tc>
        <w:tc>
          <w:tcPr>
            <w:tcW w:w="84" w:type="dxa"/>
            <w:tcBorders/>
            <w:shd w:fill="CCEEFF" w:val="clear"/>
            <w:vAlign w:val="center"/>
          </w:tcPr>
          <w:p>
            <w:pPr>
              <w:pStyle w:val="TableContents"/>
              <w:bidi w:val="0"/>
              <w:spacing w:before="0" w:after="283"/>
              <w:jc w:val="left"/>
              <w:rPr/>
            </w:pPr>
            <w:r>
              <w:rPr/>
              <w:t> </w:t>
            </w:r>
          </w:p>
        </w:tc>
      </w:tr>
      <w:tr>
        <w:trPr/>
        <w:tc>
          <w:tcPr>
            <w:tcW w:w="18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stock units vested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ind w:left="0" w:right="0" w:hanging="0"/>
              <w:jc w:val="left"/>
              <w:rPr/>
            </w:pPr>
            <w:r>
              <w:rPr/>
              <w:t> </w:t>
            </w:r>
          </w:p>
        </w:tc>
        <w:tc>
          <w:tcPr>
            <w:tcW w:w="9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2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ind w:left="0" w:right="0" w:hanging="0"/>
              <w:jc w:val="left"/>
              <w:rPr/>
            </w:pPr>
            <w:r>
              <w:rPr/>
              <w:t> </w:t>
            </w:r>
          </w:p>
        </w:tc>
        <w:tc>
          <w:tcPr>
            <w:tcW w:w="63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ind w:left="0" w:right="0" w:hanging="0"/>
              <w:jc w:val="left"/>
              <w:rPr/>
            </w:pPr>
            <w:r>
              <w:rPr/>
              <w:t> </w:t>
            </w:r>
          </w:p>
        </w:tc>
        <w:tc>
          <w:tcPr>
            <w:tcW w:w="142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w:t>
            </w:r>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8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dividends on common stock ($0.32 per share)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ind w:left="0" w:right="0" w:hanging="0"/>
              <w:jc w:val="left"/>
              <w:rPr/>
            </w:pPr>
            <w:r>
              <w:rPr/>
              <w:t> </w:t>
            </w:r>
          </w:p>
        </w:tc>
        <w:tc>
          <w:tcPr>
            <w:tcW w:w="96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(5,719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ind w:left="0" w:right="0" w:hanging="0"/>
              <w:jc w:val="left"/>
              <w:rPr/>
            </w:pPr>
            <w:r>
              <w:rPr/>
              <w:t> </w:t>
            </w:r>
          </w:p>
        </w:tc>
        <w:tc>
          <w:tcPr>
            <w:tcW w:w="63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ind w:left="0" w:right="0" w:hanging="0"/>
              <w:jc w:val="left"/>
              <w:rPr/>
            </w:pPr>
            <w:r>
              <w:rPr/>
              <w:t> </w:t>
            </w:r>
          </w:p>
        </w:tc>
        <w:tc>
          <w:tcPr>
            <w:tcW w:w="142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(5,719</w:t>
            </w:r>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8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options exercised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ind w:left="0" w:right="0" w:hanging="0"/>
              <w:jc w:val="left"/>
              <w:rPr/>
            </w:pPr>
            <w:r>
              <w:rPr/>
              <w:t> </w:t>
            </w:r>
          </w:p>
        </w:tc>
        <w:tc>
          <w:tcPr>
            <w:tcW w:w="9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2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ind w:left="0" w:right="0" w:hanging="0"/>
              <w:jc w:val="left"/>
              <w:rPr/>
            </w:pPr>
            <w:r>
              <w:rPr/>
              <w:t> </w:t>
            </w:r>
          </w:p>
        </w:tc>
        <w:tc>
          <w:tcPr>
            <w:tcW w:w="63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ind w:left="0" w:right="0" w:hanging="0"/>
              <w:jc w:val="left"/>
              <w:rPr/>
            </w:pPr>
            <w:r>
              <w:rPr/>
              <w:t> </w:t>
            </w:r>
          </w:p>
        </w:tc>
        <w:tc>
          <w:tcPr>
            <w:tcW w:w="142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w:t>
            </w:r>
          </w:p>
        </w:tc>
        <w:tc>
          <w:tcPr>
            <w:tcW w:w="84" w:type="dxa"/>
            <w:tcBorders/>
            <w:shd w:fill="FFFFFF" w:val="clear"/>
            <w:vAlign w:val="center"/>
          </w:tcPr>
          <w:p>
            <w:pPr>
              <w:pStyle w:val="TableContents"/>
              <w:bidi w:val="0"/>
              <w:spacing w:before="0" w:after="283"/>
              <w:jc w:val="left"/>
              <w:rPr/>
            </w:pPr>
            <w:r>
              <w:rPr/>
              <w:t> </w:t>
            </w:r>
          </w:p>
        </w:tc>
      </w:tr>
      <w:tr>
        <w:trPr/>
        <w:tc>
          <w:tcPr>
            <w:tcW w:w="18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Repurchase of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(87,731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ind w:left="0" w:right="0" w:hanging="0"/>
              <w:jc w:val="left"/>
              <w:rPr/>
            </w:pPr>
            <w:r>
              <w:rPr/>
              <w:t> </w:t>
            </w:r>
          </w:p>
        </w:tc>
        <w:tc>
          <w:tcPr>
            <w:tcW w:w="96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ind w:left="0" w:right="0" w:hanging="0"/>
              <w:jc w:val="left"/>
              <w:rPr/>
            </w:pPr>
            <w:r>
              <w:rPr/>
              <w:t> </w:t>
            </w:r>
          </w:p>
        </w:tc>
        <w:tc>
          <w:tcPr>
            <w:tcW w:w="63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ind w:left="0" w:right="0" w:hanging="0"/>
              <w:jc w:val="left"/>
              <w:rPr/>
            </w:pPr>
            <w:r>
              <w:rPr/>
              <w:t> </w:t>
            </w:r>
          </w:p>
        </w:tc>
        <w:tc>
          <w:tcPr>
            <w:tcW w:w="142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(1,499</w:t>
            </w:r>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8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net of taxes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4,244</w:t>
            </w:r>
          </w:p>
        </w:tc>
        <w:tc>
          <w:tcPr>
            <w:tcW w:w="84" w:type="dxa"/>
            <w:tcBorders/>
            <w:shd w:fill="FFFFFF" w:val="clear"/>
            <w:vAlign w:val="center"/>
          </w:tcPr>
          <w:p>
            <w:pPr>
              <w:pStyle w:val="TableContents"/>
              <w:bidi w:val="0"/>
              <w:spacing w:before="0" w:after="283"/>
              <w:jc w:val="left"/>
              <w:rPr/>
            </w:pPr>
            <w:r>
              <w:rPr/>
              <w:t> </w:t>
            </w:r>
          </w:p>
        </w:tc>
      </w:tr>
      <w:tr>
        <w:trPr/>
        <w:tc>
          <w:tcPr>
            <w:tcW w:w="181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at June 30,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17,699,091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259,863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270,152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(16,013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517,653</w:t>
            </w:r>
          </w:p>
        </w:tc>
        <w:tc>
          <w:tcPr>
            <w:tcW w:w="8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unaudited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RBB BANCORP AND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CASH FLOWS – (UNAUDITED)</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8405" w:type="dxa"/>
        <w:jc w:val="left"/>
        <w:tblInd w:w="0" w:type="dxa"/>
        <w:tblLayout w:type="fixed"/>
        <w:tblCellMar>
          <w:top w:w="0" w:type="dxa"/>
          <w:left w:w="0" w:type="dxa"/>
          <w:bottom w:w="0" w:type="dxa"/>
          <w:right w:w="0" w:type="dxa"/>
        </w:tblCellMar>
      </w:tblPr>
      <w:tblGrid>
        <w:gridCol w:w="6365"/>
        <w:gridCol w:w="60"/>
        <w:gridCol w:w="125"/>
        <w:gridCol w:w="755"/>
        <w:gridCol w:w="80"/>
        <w:gridCol w:w="60"/>
        <w:gridCol w:w="125"/>
        <w:gridCol w:w="755"/>
        <w:gridCol w:w="80"/>
      </w:tblGrid>
      <w:tr>
        <w:trPr/>
        <w:tc>
          <w:tcPr>
            <w:tcW w:w="6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00" w:type="dxa"/>
            <w:gridSpan w:val="6"/>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w:t>
            </w:r>
          </w:p>
        </w:tc>
        <w:tc>
          <w:tcPr>
            <w:tcW w:w="80" w:type="dxa"/>
            <w:tcBorders/>
            <w:shd w:fill="FFFFFF" w:val="clear"/>
            <w:vAlign w:val="center"/>
          </w:tcPr>
          <w:p>
            <w:pPr>
              <w:pStyle w:val="TableContents"/>
              <w:bidi w:val="0"/>
              <w:spacing w:before="0" w:after="283"/>
              <w:jc w:val="left"/>
              <w:rPr/>
            </w:pPr>
            <w:r>
              <w:rPr/>
              <w:t> </w:t>
            </w:r>
          </w:p>
        </w:tc>
      </w:tr>
      <w:tr>
        <w:trPr/>
        <w:tc>
          <w:tcPr>
            <w:tcW w:w="6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0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r>
      <w:tr>
        <w:trPr/>
        <w:tc>
          <w:tcPr>
            <w:tcW w:w="6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365" w:type="dxa"/>
            <w:tcBorders/>
            <w:shd w:fill="FFFF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21,440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11,623</w:t>
            </w:r>
          </w:p>
        </w:tc>
        <w:tc>
          <w:tcPr>
            <w:tcW w:w="80" w:type="dxa"/>
            <w:tcBorders/>
            <w:shd w:fill="FFFFFF" w:val="clear"/>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Adjustments to reconcile net income to net cash from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365" w:type="dxa"/>
            <w:tcBorders/>
            <w:shd w:fill="FFFFFF" w:val="clear"/>
            <w:vAlign w:val="center"/>
          </w:tcPr>
          <w:p>
            <w:pPr>
              <w:pStyle w:val="TableContents"/>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Depreciation and amortization of premises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941</w:t>
            </w:r>
          </w:p>
        </w:tc>
        <w:tc>
          <w:tcPr>
            <w:tcW w:w="80" w:type="dxa"/>
            <w:tcBorders/>
            <w:shd w:fill="FFFFFF" w:val="clear"/>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Net accretion of securities, loans, deposits, and other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(1,263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(1,667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365" w:type="dxa"/>
            <w:tcBorders/>
            <w:shd w:fill="FFFFFF" w:val="clear"/>
            <w:vAlign w:val="center"/>
          </w:tcPr>
          <w:p>
            <w:pPr>
              <w:pStyle w:val="TableContents"/>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Amortization of investment in affordable housing tax credits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952</w:t>
            </w:r>
          </w:p>
        </w:tc>
        <w:tc>
          <w:tcPr>
            <w:tcW w:w="80" w:type="dxa"/>
            <w:tcBorders/>
            <w:shd w:fill="FFFFFF" w:val="clear"/>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951</w:t>
            </w:r>
          </w:p>
        </w:tc>
        <w:tc>
          <w:tcPr>
            <w:tcW w:w="80" w:type="dxa"/>
            <w:tcBorders/>
            <w:shd w:fill="CCEEFF" w:val="clear"/>
            <w:vAlign w:val="center"/>
          </w:tcPr>
          <w:p>
            <w:pPr>
              <w:pStyle w:val="TableContents"/>
              <w:bidi w:val="0"/>
              <w:spacing w:before="0" w:after="283"/>
              <w:jc w:val="left"/>
              <w:rPr/>
            </w:pPr>
            <w:r>
              <w:rPr/>
              <w:t> </w:t>
            </w:r>
          </w:p>
        </w:tc>
      </w:tr>
      <w:tr>
        <w:trPr/>
        <w:tc>
          <w:tcPr>
            <w:tcW w:w="6365" w:type="dxa"/>
            <w:tcBorders/>
            <w:shd w:fill="FFFFFF" w:val="clear"/>
            <w:vAlign w:val="center"/>
          </w:tcPr>
          <w:p>
            <w:pPr>
              <w:pStyle w:val="TableContents"/>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Amortization of right-of-use asset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2,545</w:t>
            </w:r>
          </w:p>
        </w:tc>
        <w:tc>
          <w:tcPr>
            <w:tcW w:w="80" w:type="dxa"/>
            <w:tcBorders/>
            <w:shd w:fill="FFFFFF" w:val="clear"/>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Change in operating lease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(2,602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(2,462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365" w:type="dxa"/>
            <w:tcBorders/>
            <w:shd w:fill="FFFFFF" w:val="clear"/>
            <w:vAlign w:val="center"/>
          </w:tcPr>
          <w:p>
            <w:pPr>
              <w:pStyle w:val="TableContents"/>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(Reversal of) provision for credit losses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9,133</w:t>
            </w:r>
          </w:p>
        </w:tc>
        <w:tc>
          <w:tcPr>
            <w:tcW w:w="80" w:type="dxa"/>
            <w:tcBorders/>
            <w:shd w:fill="FFFFFF" w:val="clear"/>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Stock-based compensation,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1,180</w:t>
            </w:r>
          </w:p>
        </w:tc>
        <w:tc>
          <w:tcPr>
            <w:tcW w:w="80" w:type="dxa"/>
            <w:tcBorders/>
            <w:shd w:fill="CCEEFF" w:val="clear"/>
            <w:vAlign w:val="center"/>
          </w:tcPr>
          <w:p>
            <w:pPr>
              <w:pStyle w:val="TableContents"/>
              <w:bidi w:val="0"/>
              <w:spacing w:before="0" w:after="283"/>
              <w:jc w:val="left"/>
              <w:rPr/>
            </w:pPr>
            <w:r>
              <w:rPr/>
              <w:t> </w:t>
            </w:r>
          </w:p>
        </w:tc>
      </w:tr>
      <w:tr>
        <w:trPr/>
        <w:tc>
          <w:tcPr>
            <w:tcW w:w="6365" w:type="dxa"/>
            <w:tcBorders/>
            <w:shd w:fill="FFFFFF" w:val="clear"/>
            <w:vAlign w:val="center"/>
          </w:tcPr>
          <w:p>
            <w:pPr>
              <w:pStyle w:val="TableContents"/>
              <w:bidi w:val="0"/>
              <w:spacing w:before="0" w:after="0"/>
              <w:ind w:left="0" w:right="0" w:firstLine="720"/>
              <w:jc w:val="left"/>
              <w:rPr>
                <w:rFonts w:ascii="Times New Roman" w:hAnsi="Times New Roman"/>
                <w:sz w:val="20"/>
              </w:rPr>
            </w:pPr>
            <w:r>
              <w:rPr>
                <w:rFonts w:ascii="Times New Roman" w:hAnsi="Times New Roman"/>
                <w:sz w:val="20"/>
              </w:rPr>
              <w:t>Deferred tax expense (benefit)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365" w:type="dxa"/>
            <w:tcBorders/>
            <w:shd w:fill="CCEEFF" w:val="clear"/>
            <w:vAlign w:val="center"/>
          </w:tcPr>
          <w:p>
            <w:pPr>
              <w:pStyle w:val="TableContents"/>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Gain on sale of loans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(1,288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365" w:type="dxa"/>
            <w:tcBorders/>
            <w:shd w:fill="FFFFFF" w:val="clear"/>
            <w:vAlign w:val="center"/>
          </w:tcPr>
          <w:p>
            <w:pPr>
              <w:pStyle w:val="TableContents"/>
              <w:bidi w:val="0"/>
              <w:spacing w:before="0" w:after="0"/>
              <w:ind w:left="0" w:right="0" w:firstLine="720"/>
              <w:jc w:val="left"/>
              <w:rPr>
                <w:rFonts w:ascii="Times New Roman" w:hAnsi="Times New Roman"/>
                <w:sz w:val="20"/>
              </w:rPr>
            </w:pPr>
            <w:r>
              <w:rPr>
                <w:rFonts w:ascii="Times New Roman" w:hAnsi="Times New Roman"/>
                <w:sz w:val="20"/>
              </w:rPr>
              <w:t>Gain on OREO</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(669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0"/>
              <w:ind w:left="0" w:right="0" w:firstLine="720"/>
              <w:jc w:val="left"/>
              <w:rPr>
                <w:rFonts w:ascii="Times New Roman" w:hAnsi="Times New Roman"/>
                <w:sz w:val="20"/>
              </w:rPr>
            </w:pPr>
            <w:r>
              <w:rPr>
                <w:rFonts w:ascii="Times New Roman" w:hAnsi="Times New Roman"/>
                <w:sz w:val="20"/>
              </w:rPr>
              <w:t>Gain on sale of fixed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365" w:type="dxa"/>
            <w:tcBorders/>
            <w:shd w:fill="FFFFFF" w:val="clear"/>
            <w:vAlign w:val="center"/>
          </w:tcPr>
          <w:p>
            <w:pPr>
              <w:pStyle w:val="TableContents"/>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Increase in cash surrender value of life insurance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365" w:type="dxa"/>
            <w:tcBorders/>
            <w:shd w:fill="CCEEFF" w:val="clear"/>
            <w:vAlign w:val="center"/>
          </w:tcPr>
          <w:p>
            <w:pPr>
              <w:pStyle w:val="TableContents"/>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Loans originated for sale,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(3,248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(1,938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365" w:type="dxa"/>
            <w:tcBorders/>
            <w:shd w:fill="FFFFFF" w:val="clear"/>
            <w:vAlign w:val="center"/>
          </w:tcPr>
          <w:p>
            <w:pPr>
              <w:pStyle w:val="TableContents"/>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Proceeds from loans sold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18,260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8,574</w:t>
            </w:r>
          </w:p>
        </w:tc>
        <w:tc>
          <w:tcPr>
            <w:tcW w:w="80" w:type="dxa"/>
            <w:tcBorders/>
            <w:shd w:fill="FFFFFF" w:val="clear"/>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Other items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1,222</w:t>
            </w:r>
          </w:p>
        </w:tc>
        <w:tc>
          <w:tcPr>
            <w:tcW w:w="80" w:type="dxa"/>
            <w:tcBorders/>
            <w:shd w:fill="CCEEFF" w:val="clear"/>
            <w:vAlign w:val="center"/>
          </w:tcPr>
          <w:p>
            <w:pPr>
              <w:pStyle w:val="TableContents"/>
              <w:bidi w:val="0"/>
              <w:spacing w:before="0" w:after="283"/>
              <w:jc w:val="left"/>
              <w:rPr/>
            </w:pPr>
            <w:r>
              <w:rPr/>
              <w:t> </w:t>
            </w:r>
          </w:p>
        </w:tc>
      </w:tr>
      <w:tr>
        <w:trPr/>
        <w:tc>
          <w:tcPr>
            <w:tcW w:w="6365" w:type="dxa"/>
            <w:tcBorders/>
            <w:shd w:fill="FFFFFF" w:val="clear"/>
            <w:vAlign w:val="center"/>
          </w:tcPr>
          <w:p>
            <w:pPr>
              <w:pStyle w:val="TableContents"/>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Net cash provided by operating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41,719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29,430</w:t>
            </w:r>
          </w:p>
        </w:tc>
        <w:tc>
          <w:tcPr>
            <w:tcW w:w="80" w:type="dxa"/>
            <w:tcBorders/>
            <w:shd w:fill="FFFFFF" w:val="clear"/>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365" w:type="dxa"/>
            <w:tcBorders/>
            <w:shd w:fill="FFFF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Securities available for sale: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Purchases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(109,336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(110,410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365" w:type="dxa"/>
            <w:tcBorders/>
            <w:shd w:fill="FFFFFF" w:val="clear"/>
            <w:vAlign w:val="center"/>
          </w:tcPr>
          <w:p>
            <w:pPr>
              <w:pStyle w:val="TableContents"/>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Maturities, repayments and calls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108,340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124,717</w:t>
            </w:r>
          </w:p>
        </w:tc>
        <w:tc>
          <w:tcPr>
            <w:tcW w:w="80" w:type="dxa"/>
            <w:tcBorders/>
            <w:shd w:fill="FFFFFF" w:val="clear"/>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Securities held to maturity: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365" w:type="dxa"/>
            <w:tcBorders/>
            <w:shd w:fill="FFFFFF" w:val="clear"/>
            <w:vAlign w:val="center"/>
          </w:tcPr>
          <w:p>
            <w:pPr>
              <w:pStyle w:val="TableContents"/>
              <w:bidi w:val="0"/>
              <w:spacing w:before="0" w:after="0"/>
              <w:ind w:left="0" w:right="0" w:firstLine="720"/>
              <w:jc w:val="left"/>
              <w:rPr>
                <w:rFonts w:ascii="Times New Roman" w:hAnsi="Times New Roman"/>
                <w:sz w:val="20"/>
              </w:rPr>
            </w:pPr>
            <w:r>
              <w:rPr>
                <w:rFonts w:ascii="Times New Roman" w:hAnsi="Times New Roman"/>
                <w:sz w:val="20"/>
              </w:rPr>
              <w:t>Maturities, repayments and calls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1,000</w:t>
            </w:r>
          </w:p>
        </w:tc>
        <w:tc>
          <w:tcPr>
            <w:tcW w:w="80" w:type="dxa"/>
            <w:tcBorders/>
            <w:shd w:fill="FFFFFF" w:val="clear"/>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Purchase of other equity securities,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(8,079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365" w:type="dxa"/>
            <w:tcBorders/>
            <w:shd w:fill="FFFF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Net increase of investment in qualified affordable housing projects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(2,212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365" w:type="dxa"/>
            <w:tcBorders/>
            <w:shd w:fill="CCEE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Net increase in loans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(68,245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(217,800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365"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Proceeds from sales of loans originally classified as HFI</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42,198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24,528</w:t>
            </w:r>
          </w:p>
        </w:tc>
        <w:tc>
          <w:tcPr>
            <w:tcW w:w="80" w:type="dxa"/>
            <w:tcBorders/>
            <w:shd w:fill="FFFFFF" w:val="clear"/>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Proceeds from sales of OREO</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5,569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7,526</w:t>
            </w:r>
          </w:p>
        </w:tc>
        <w:tc>
          <w:tcPr>
            <w:tcW w:w="80" w:type="dxa"/>
            <w:tcBorders/>
            <w:shd w:fill="CCEEFF" w:val="clear"/>
            <w:vAlign w:val="center"/>
          </w:tcPr>
          <w:p>
            <w:pPr>
              <w:pStyle w:val="TableContents"/>
              <w:bidi w:val="0"/>
              <w:spacing w:before="0" w:after="283"/>
              <w:jc w:val="left"/>
              <w:rPr/>
            </w:pPr>
            <w:r>
              <w:rPr/>
              <w:t> </w:t>
            </w:r>
          </w:p>
        </w:tc>
      </w:tr>
      <w:tr>
        <w:trPr/>
        <w:tc>
          <w:tcPr>
            <w:tcW w:w="6365"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Other investing activities, net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(236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365" w:type="dxa"/>
            <w:tcBorders/>
            <w:shd w:fill="CCEEFF" w:val="clear"/>
            <w:vAlign w:val="center"/>
          </w:tcPr>
          <w:p>
            <w:pPr>
              <w:pStyle w:val="TableContents"/>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(31,863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(172,441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36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Net increase in demand deposits and savings accounts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299,917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9,518</w:t>
            </w:r>
          </w:p>
        </w:tc>
        <w:tc>
          <w:tcPr>
            <w:tcW w:w="80" w:type="dxa"/>
            <w:tcBorders/>
            <w:shd w:fill="CCEEFF" w:val="clear"/>
            <w:vAlign w:val="center"/>
          </w:tcPr>
          <w:p>
            <w:pPr>
              <w:pStyle w:val="TableContents"/>
              <w:bidi w:val="0"/>
              <w:spacing w:before="0" w:after="283"/>
              <w:jc w:val="left"/>
              <w:rPr/>
            </w:pPr>
            <w:r>
              <w:rPr/>
              <w:t> </w:t>
            </w:r>
          </w:p>
        </w:tc>
      </w:tr>
      <w:tr>
        <w:trPr/>
        <w:tc>
          <w:tcPr>
            <w:tcW w:w="6365" w:type="dxa"/>
            <w:tcBorders/>
            <w:shd w:fill="FFFF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Net (decrease) increase in time deposits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(259,715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94,871</w:t>
            </w:r>
          </w:p>
        </w:tc>
        <w:tc>
          <w:tcPr>
            <w:tcW w:w="80" w:type="dxa"/>
            <w:tcBorders/>
            <w:shd w:fill="FFFFFF" w:val="clear"/>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Proceeds from FHLB advances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150,000</w:t>
            </w:r>
          </w:p>
        </w:tc>
        <w:tc>
          <w:tcPr>
            <w:tcW w:w="80" w:type="dxa"/>
            <w:tcBorders/>
            <w:shd w:fill="CCEEFF" w:val="clear"/>
            <w:vAlign w:val="center"/>
          </w:tcPr>
          <w:p>
            <w:pPr>
              <w:pStyle w:val="TableContents"/>
              <w:bidi w:val="0"/>
              <w:spacing w:before="0" w:after="283"/>
              <w:jc w:val="left"/>
              <w:rPr/>
            </w:pPr>
            <w:r>
              <w:rPr/>
              <w:t> </w:t>
            </w:r>
          </w:p>
        </w:tc>
      </w:tr>
      <w:tr>
        <w:trPr/>
        <w:tc>
          <w:tcPr>
            <w:tcW w:w="6365"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Repayments of FHLB Advances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(90,000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(170,000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365" w:type="dxa"/>
            <w:tcBorders/>
            <w:shd w:fill="CCEE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Cash dividends paid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(5,520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(5,719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365"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Restricted stock units vesting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(405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(224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365" w:type="dxa"/>
            <w:tcBorders/>
            <w:shd w:fill="CCEE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Common stock repurchased, net of repurchase costs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(4,470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(1,499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365" w:type="dxa"/>
            <w:tcBorders/>
            <w:shd w:fill="FFFF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Exercise of stock options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171</w:t>
            </w:r>
          </w:p>
        </w:tc>
        <w:tc>
          <w:tcPr>
            <w:tcW w:w="80" w:type="dxa"/>
            <w:tcBorders/>
            <w:shd w:fill="FFFFFF" w:val="clear"/>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60,842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77,118</w:t>
            </w:r>
          </w:p>
        </w:tc>
        <w:tc>
          <w:tcPr>
            <w:tcW w:w="80" w:type="dxa"/>
            <w:tcBorders/>
            <w:shd w:fill="CCEEFF" w:val="clear"/>
            <w:vAlign w:val="center"/>
          </w:tcPr>
          <w:p>
            <w:pPr>
              <w:pStyle w:val="TableContents"/>
              <w:bidi w:val="0"/>
              <w:spacing w:before="0" w:after="283"/>
              <w:jc w:val="left"/>
              <w:rPr/>
            </w:pPr>
            <w:r>
              <w:rPr/>
              <w:t> </w:t>
            </w:r>
          </w:p>
        </w:tc>
      </w:tr>
      <w:tr>
        <w:trPr/>
        <w:tc>
          <w:tcPr>
            <w:tcW w:w="6365" w:type="dxa"/>
            <w:tcBorders/>
            <w:shd w:fill="FFFFFF" w:val="clear"/>
            <w:vAlign w:val="center"/>
          </w:tcPr>
          <w:p>
            <w:pPr>
              <w:pStyle w:val="TableContents"/>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Net increase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70,698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(65,893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36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and cash equivalents at beginning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212,317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257,745</w:t>
            </w:r>
          </w:p>
        </w:tc>
        <w:tc>
          <w:tcPr>
            <w:tcW w:w="80" w:type="dxa"/>
            <w:tcBorders/>
            <w:shd w:fill="CCEEFF" w:val="clear"/>
            <w:vAlign w:val="center"/>
          </w:tcPr>
          <w:p>
            <w:pPr>
              <w:pStyle w:val="TableContents"/>
              <w:bidi w:val="0"/>
              <w:spacing w:before="0" w:after="283"/>
              <w:jc w:val="left"/>
              <w:rPr/>
            </w:pPr>
            <w:r>
              <w:rPr/>
              <w:t> </w:t>
            </w:r>
          </w:p>
        </w:tc>
      </w:tr>
      <w:tr>
        <w:trPr/>
        <w:tc>
          <w:tcPr>
            <w:tcW w:w="636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and cash equivalents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283,015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191,852</w:t>
            </w:r>
          </w:p>
        </w:tc>
        <w:tc>
          <w:tcPr>
            <w:tcW w:w="80" w:type="dxa"/>
            <w:tcBorders/>
            <w:shd w:fill="FFFFFF" w:val="clear"/>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Supplemental disclosure of cash flow information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365" w:type="dxa"/>
            <w:tcBorders/>
            <w:shd w:fill="FFFF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Cash paid during the period: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Interest paid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54,139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53,654</w:t>
            </w:r>
          </w:p>
        </w:tc>
        <w:tc>
          <w:tcPr>
            <w:tcW w:w="80" w:type="dxa"/>
            <w:tcBorders/>
            <w:shd w:fill="CCEEFF" w:val="clear"/>
            <w:vAlign w:val="center"/>
          </w:tcPr>
          <w:p>
            <w:pPr>
              <w:pStyle w:val="TableContents"/>
              <w:bidi w:val="0"/>
              <w:spacing w:before="0" w:after="283"/>
              <w:jc w:val="left"/>
              <w:rPr/>
            </w:pPr>
            <w:r>
              <w:rPr/>
              <w:t> </w:t>
            </w:r>
          </w:p>
        </w:tc>
      </w:tr>
      <w:tr>
        <w:trPr/>
        <w:tc>
          <w:tcPr>
            <w:tcW w:w="6365" w:type="dxa"/>
            <w:tcBorders/>
            <w:shd w:fill="FFFFFF" w:val="clear"/>
            <w:vAlign w:val="center"/>
          </w:tcPr>
          <w:p>
            <w:pPr>
              <w:pStyle w:val="TableContents"/>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(Refunds received) taxes paid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(4,887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2,869</w:t>
            </w:r>
          </w:p>
        </w:tc>
        <w:tc>
          <w:tcPr>
            <w:tcW w:w="80" w:type="dxa"/>
            <w:tcBorders/>
            <w:shd w:fill="FFFFFF" w:val="clear"/>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365" w:type="dxa"/>
            <w:tcBorders/>
            <w:shd w:fill="FFFFFF" w:val="clear"/>
            <w:vAlign w:val="center"/>
          </w:tcPr>
          <w:p>
            <w:pPr>
              <w:pStyle w:val="TableContents"/>
              <w:bidi w:val="0"/>
              <w:spacing w:before="0" w:after="0"/>
              <w:ind w:left="360" w:right="0" w:firstLine="360"/>
              <w:jc w:val="left"/>
              <w:rPr>
                <w:rFonts w:ascii="Times New Roman" w:hAnsi="Times New Roman"/>
                <w:sz w:val="20"/>
              </w:rPr>
            </w:pPr>
            <w:r>
              <w:rPr>
                <w:rFonts w:ascii="Times New Roman" w:hAnsi="Times New Roman"/>
                <w:sz w:val="20"/>
              </w:rPr>
              <w:t>Transfer from loans to other real estate owned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19,391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11,696</w:t>
            </w:r>
          </w:p>
        </w:tc>
        <w:tc>
          <w:tcPr>
            <w:tcW w:w="80" w:type="dxa"/>
            <w:tcBorders/>
            <w:shd w:fill="FFFFFF" w:val="clear"/>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Loans transferred to held for sale,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53,855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19,475</w:t>
            </w:r>
          </w:p>
        </w:tc>
        <w:tc>
          <w:tcPr>
            <w:tcW w:w="80" w:type="dxa"/>
            <w:tcBorders/>
            <w:shd w:fill="CCEEFF" w:val="clear"/>
            <w:vAlign w:val="center"/>
          </w:tcPr>
          <w:p>
            <w:pPr>
              <w:pStyle w:val="TableContents"/>
              <w:bidi w:val="0"/>
              <w:spacing w:before="0" w:after="283"/>
              <w:jc w:val="left"/>
              <w:rPr/>
            </w:pPr>
            <w:r>
              <w:rPr/>
              <w:t> </w:t>
            </w:r>
          </w:p>
        </w:tc>
      </w:tr>
      <w:tr>
        <w:trPr/>
        <w:tc>
          <w:tcPr>
            <w:tcW w:w="6365" w:type="dxa"/>
            <w:tcBorders/>
            <w:shd w:fill="FFFFFF" w:val="clear"/>
            <w:vAlign w:val="center"/>
          </w:tcPr>
          <w:p>
            <w:pPr>
              <w:pStyle w:val="TableContents"/>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Additions to servicing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w:t>
            </w:r>
          </w:p>
        </w:tc>
        <w:tc>
          <w:tcPr>
            <w:tcW w:w="80" w:type="dxa"/>
            <w:tcBorders/>
            <w:shd w:fill="FFFFFF" w:val="clear"/>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Recognition of operating lease right-of-use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(1,638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365" w:type="dxa"/>
            <w:tcBorders/>
            <w:shd w:fill="FFFFFF" w:val="clear"/>
            <w:vAlign w:val="center"/>
          </w:tcPr>
          <w:p>
            <w:pPr>
              <w:pStyle w:val="TableContents"/>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Recognition of operating lease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accompanying notes are an integral part of these unaudited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5" w:name="Notes"/>
      <w:bookmarkEnd w:id="5"/>
      <w:r>
        <w:rPr>
          <w:rFonts w:ascii="Times New Roman" w:hAnsi="Times New Roman"/>
          <w:b/>
          <w:caps w:val="false"/>
          <w:smallCaps w:val="false"/>
          <w:sz w:val="20"/>
        </w:rPr>
        <w:t>RBB BANCORP AND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NOTES TO CONSOLIDATED FINANCIAL STATEMENTS </w:t>
      </w:r>
      <w:r>
        <w:rPr>
          <w:rFonts w:ascii="Times New Roman" w:hAnsi="Times New Roman"/>
          <w:caps w:val="false"/>
          <w:smallCaps w:val="false"/>
          <w:sz w:val="20"/>
        </w:rPr>
        <w:t xml:space="preserve">– </w:t>
      </w: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w:t>
      </w:r>
      <w:r>
        <w:rPr>
          <w:rFonts w:ascii="Times New Roman" w:hAnsi="Times New Roman"/>
          <w:b/>
          <w:caps w:val="false"/>
          <w:smallCaps w:val="false"/>
          <w:sz w:val="20"/>
        </w:rPr>
        <w:t xml:space="preserve"> - BUSINESS DESCRIPTION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RBB Bancorp (“RBB”) is a bank holding company registered under the Bank Holding Company Act of </w:t>
      </w:r>
      <w:r>
        <w:rPr>
          <w:rStyle w:val="Emphasis"/>
          <w:rFonts w:ascii="Times New Roman" w:hAnsi="Times New Roman"/>
          <w:caps w:val="false"/>
          <w:smallCaps w:val="false"/>
          <w:sz w:val="20"/>
        </w:rPr>
        <w:t>1956,</w:t>
      </w:r>
      <w:r>
        <w:rPr>
          <w:rFonts w:ascii="Times New Roman" w:hAnsi="Times New Roman"/>
          <w:caps w:val="false"/>
          <w:smallCaps w:val="false"/>
          <w:sz w:val="20"/>
        </w:rPr>
        <w:t xml:space="preserve"> as amended. RBB Bancorp’s principal business is to serve as the holding company for its wholly-owned banking subsidiaries, Royal Business Bank ("Bank") and RBB Asset Management Company (“RAM”), collectively referred to herein as “the Company”. RAM was formed in </w:t>
      </w:r>
      <w:r>
        <w:rPr>
          <w:rStyle w:val="Emphasis"/>
          <w:rFonts w:ascii="Times New Roman" w:hAnsi="Times New Roman"/>
          <w:caps w:val="false"/>
          <w:smallCaps w:val="false"/>
          <w:sz w:val="20"/>
        </w:rPr>
        <w:t>2012</w:t>
      </w:r>
      <w:r>
        <w:rPr>
          <w:rFonts w:ascii="Times New Roman" w:hAnsi="Times New Roman"/>
          <w:caps w:val="false"/>
          <w:smallCaps w:val="false"/>
          <w:sz w:val="20"/>
        </w:rPr>
        <w:t xml:space="preserve"> to hold and manage problem assets acquired in business combinations. There are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problem assets at RAM or activity in this subsidiary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or the year ended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When we refer to “we”, “us”, “our”, or the “Company”, we are referring to RBB Bancorp and its consolidated subsidiaries including the Bank and RAM, collectively. When we refer to the “parent company”, “Bancorp”, or the “holding company”, we are referring to RBB Bancorp, the parent company, on a stand-alone basis.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At </w:t>
      </w:r>
      <w:r>
        <w:rPr>
          <w:rStyle w:val="Emphasis"/>
          <w:rFonts w:ascii="Times New Roman" w:hAnsi="Times New Roman"/>
          <w:caps w:val="false"/>
          <w:smallCaps w:val="false"/>
          <w:sz w:val="20"/>
        </w:rPr>
        <w:t>June 30, 2026</w:t>
      </w:r>
      <w:r>
        <w:rPr>
          <w:rFonts w:ascii="Times New Roman" w:hAnsi="Times New Roman"/>
          <w:caps w:val="false"/>
          <w:smallCaps w:val="false"/>
          <w:sz w:val="20"/>
        </w:rPr>
        <w:t>, we had total assets of $4.3 billion, total loans of $3.3 billion, total deposits of $3.4 billion and total shareholders' equity of $535.2 million. RBB’s common stock trades on the Nasdaq Global Select Market under the symbol “RBB”.</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Bank provides business-banking products and services predominantly to Asian-centric communities through 24 full service branches located in Los Angeles County, Orange County and Ventura County in California, Las Vegas (Nevada), the New York City metropolitan areas, Chicago (Illinois), Edison (New Jersey) and Honolulu (Hawaii) and a loan production office located in the San Francisco Bay area. The products and services include commercial and investor real estate loans, business loans and lines of credit, Small Business Administration (“SBA”) </w:t>
      </w:r>
      <w:r>
        <w:rPr>
          <w:rStyle w:val="Emphasis"/>
          <w:rFonts w:ascii="Times New Roman" w:hAnsi="Times New Roman"/>
          <w:caps w:val="false"/>
          <w:smallCaps w:val="false"/>
          <w:sz w:val="20"/>
        </w:rPr>
        <w:t>7A</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504</w:t>
      </w:r>
      <w:r>
        <w:rPr>
          <w:rFonts w:ascii="Times New Roman" w:hAnsi="Times New Roman"/>
          <w:caps w:val="false"/>
          <w:smallCaps w:val="false"/>
          <w:sz w:val="20"/>
        </w:rPr>
        <w:t xml:space="preserve"> loans, mortgage loans, trade finance and a full range of depository accounts, including specialized services such as remote deposit, E-banking, mobile banking and treasury management services. Our primary source of revenue is providing loans to customers, who are predominantly small and middle-market businesses and individuals.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We operate as a minority depository institution (“MDI”), which is defined by the Federal Deposit Insurance Corporation (“FDIC”) as a federally insured depository institution where </w:t>
      </w:r>
      <w:r>
        <w:rPr>
          <w:rStyle w:val="Emphasis"/>
          <w:rFonts w:ascii="Times New Roman" w:hAnsi="Times New Roman"/>
          <w:caps w:val="false"/>
          <w:smallCaps w:val="false"/>
          <w:sz w:val="20"/>
        </w:rPr>
        <w:t>51%</w:t>
      </w:r>
      <w:r>
        <w:rPr>
          <w:rFonts w:ascii="Times New Roman" w:hAnsi="Times New Roman"/>
          <w:caps w:val="false"/>
          <w:smallCaps w:val="false"/>
          <w:sz w:val="20"/>
        </w:rPr>
        <w:t xml:space="preserve"> or more of the voting stock is owned by minority individuals or a majority of the board of directors is minority and the community that the institution serves is predominantly minority. A MDI is eligible to receive support from the FDIC and other federal regulatory agencies such as training, technical assistance and review of proposed new deposit taking and lending programs, and the adoption of applicable policies and procedures governing such programs. We intend to maintain our MDI designation, as it is expected that at least </w:t>
      </w:r>
      <w:r>
        <w:rPr>
          <w:rStyle w:val="Emphasis"/>
          <w:rFonts w:ascii="Times New Roman" w:hAnsi="Times New Roman"/>
          <w:caps w:val="false"/>
          <w:smallCaps w:val="false"/>
          <w:sz w:val="20"/>
        </w:rPr>
        <w:t>51%</w:t>
      </w:r>
      <w:r>
        <w:rPr>
          <w:rFonts w:ascii="Times New Roman" w:hAnsi="Times New Roman"/>
          <w:caps w:val="false"/>
          <w:smallCaps w:val="false"/>
          <w:sz w:val="20"/>
        </w:rPr>
        <w:t xml:space="preserve"> of our issued and outstanding shares of capital shall remain owned by minority individuals or a majority of the board of directors is minority and the community that the institution serves is predominantly minority. The MDI designation has been historically beneficial to us, and we continue to use the program for technical assistance.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generate our revenue primarily from interest received on loans and, to a lesser extent, from interest received on investment securities. We also derive income from noninterest sources, such as fees received in connection with various lending and deposit services, loan servicing, gain on sales of loans and wealth management services. Our principal expenses include interest expense on deposits and borrowings, and operating expenses, such as salaries and employee benefits, occupancy and equipment, data processing, and income tax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2</w:t>
      </w:r>
      <w:r>
        <w:rPr>
          <w:rFonts w:ascii="Times New Roman" w:hAnsi="Times New Roman"/>
          <w:b/>
          <w:caps w:val="false"/>
          <w:smallCaps w:val="false"/>
          <w:sz w:val="20"/>
        </w:rPr>
        <w:t xml:space="preserve"> - BASIS OF PRESENTATION AND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accompanying unaudited consolidated financial statements and notes thereto of the Company have been prepared in accordance with the rules and regulations of the Securities and Exchange Commission (“SEC”) for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-Q and conform to practices within the banking industry and include all of the information and disclosures required by accounting principles generally accepted in the United States of America (“GAAP”) for interim financial reporting. The accompanying unaudited consolidated financial statements reflect all adjustments (consisting only of normal recurring adjustments), which are necessary for a fair presentation of financial results for the interim periods presented. Certain prior period amounts have been reclassified to conform to the current period presentation. Such reclassifications had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impact on our net income or shareholders’ equity. The results of operations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the results for the full year. These interim unaudited consolidated financial statements should be read in conjunction with the audited consolidated financial statements and the notes thereto as of and for the year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included in our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for the fiscal year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(our “</w:t>
      </w:r>
      <w:r>
        <w:rPr>
          <w:rStyle w:val="Emphasis"/>
          <w:rFonts w:ascii="Times New Roman" w:hAnsi="Times New Roman"/>
          <w:caps w:val="false"/>
          <w:smallCaps w:val="false"/>
          <w:sz w:val="20"/>
        </w:rPr>
        <w:t>2025</w:t>
      </w:r>
      <w:r>
        <w:rPr>
          <w:rFonts w:ascii="Times New Roman" w:hAnsi="Times New Roman"/>
          <w:caps w:val="false"/>
          <w:smallCaps w:val="false"/>
          <w:sz w:val="20"/>
        </w:rPr>
        <w:t> Annual Report”).</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Use of Estimates in the Preparation of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preparation of financial statements in conformity with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It is reasonably possible that these estimates could change as actual results could differ from those estimates. The allowance for credit losses, realization of deferred tax assets, and the valuation of goodwill are particularly subject to change and such change could have a material effect on the consolidated financial statements.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center"/>
        <w:rPr/>
      </w:pPr>
      <w:r>
        <w:rPr>
          <w:rStyle w:val="Emphasis"/>
          <w:rFonts w:ascii="Times New Roman" w:hAnsi="Times New Roman"/>
          <w:sz w:val="20"/>
        </w:rPr>
        <w:t>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Summary of Significant Accounting Policies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accompanying unaudited consolidated financial statements were compiled in accordance with the accounting policies set forth in “Note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 Basis of Presentation and Summary of Significant Accounting Policies” in our consolidated financial statements as of and for the year ended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included in our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Annual Report. The Financial Accounting Standards Board (“FASB”) issues Accounting Standards Updates (“ASU” or “Update”) and Accounting Standards Codifications (“ASC”), which are the primary source of GAAP. We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made any changes to our significant accounting policies from those disclosed in our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Annual Report.</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i/>
          <w:caps w:val="false"/>
          <w:smallCaps w:val="false"/>
          <w:sz w:val="20"/>
        </w:rPr>
        <w:t xml:space="preserve">Accounting standards adopted in </w:t>
      </w:r>
      <w:r>
        <w:rPr>
          <w:rStyle w:val="Emphasis"/>
          <w:rFonts w:ascii="Times New Roman" w:hAnsi="Times New Roman"/>
          <w:i/>
          <w:caps w:val="false"/>
          <w:smallCaps w:val="false"/>
          <w:sz w:val="20"/>
        </w:rPr>
        <w:t>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November </w:t>
      </w:r>
      <w:r>
        <w:rPr>
          <w:rFonts w:ascii="Times New Roman" w:hAnsi="Times New Roman"/>
          <w:caps w:val="false"/>
          <w:smallCaps w:val="false"/>
          <w:sz w:val="20"/>
        </w:rPr>
        <w:t>of </w:t>
      </w:r>
      <w:r>
        <w:rPr>
          <w:rStyle w:val="Emphasis"/>
          <w:rFonts w:ascii="Times New Roman" w:hAnsi="Times New Roman"/>
          <w:caps w:val="false"/>
          <w:smallCaps w:val="false"/>
          <w:sz w:val="20"/>
        </w:rPr>
        <w:t>2025</w:t>
      </w:r>
      <w:r>
        <w:rPr>
          <w:rFonts w:ascii="Times New Roman" w:hAnsi="Times New Roman"/>
          <w:i/>
          <w:caps w:val="false"/>
          <w:smallCaps w:val="false"/>
          <w:sz w:val="20"/>
        </w:rPr>
        <w:t>,</w:t>
      </w:r>
      <w:r>
        <w:rPr>
          <w:rFonts w:ascii="Times New Roman" w:hAnsi="Times New Roman"/>
          <w:caps w:val="false"/>
          <w:smallCaps w:val="false"/>
          <w:sz w:val="20"/>
        </w:rPr>
        <w:t> the FASB issued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08</w:t>
      </w:r>
      <w:r>
        <w:rPr>
          <w:rFonts w:ascii="Times New Roman" w:hAnsi="Times New Roman"/>
          <w:i/>
          <w:caps w:val="false"/>
          <w:smallCaps w:val="false"/>
          <w:sz w:val="20"/>
        </w:rPr>
        <w:t>,</w:t>
      </w:r>
      <w:r>
        <w:rPr>
          <w:rFonts w:ascii="Times New Roman" w:hAnsi="Times New Roman"/>
          <w:caps w:val="false"/>
          <w:smallCaps w:val="false"/>
          <w:sz w:val="20"/>
        </w:rPr>
        <w:t> Financial Instruments-Credit Losses (Topic </w:t>
      </w:r>
      <w:r>
        <w:rPr>
          <w:rStyle w:val="Emphasis"/>
          <w:rFonts w:ascii="Times New Roman" w:hAnsi="Times New Roman"/>
          <w:caps w:val="false"/>
          <w:smallCaps w:val="false"/>
          <w:sz w:val="20"/>
        </w:rPr>
        <w:t>326</w:t>
      </w:r>
      <w:r>
        <w:rPr>
          <w:rFonts w:ascii="Times New Roman" w:hAnsi="Times New Roman"/>
          <w:caps w:val="false"/>
          <w:smallCaps w:val="false"/>
          <w:sz w:val="20"/>
        </w:rPr>
        <w:t>) – Purchased Loans. Under the guidance that currently exists in ASC Topic </w:t>
      </w:r>
      <w:r>
        <w:rPr>
          <w:rStyle w:val="Emphasis"/>
          <w:rFonts w:ascii="Times New Roman" w:hAnsi="Times New Roman"/>
          <w:caps w:val="false"/>
          <w:smallCaps w:val="false"/>
          <w:sz w:val="20"/>
        </w:rPr>
        <w:t>326</w:t>
      </w:r>
      <w:r>
        <w:rPr>
          <w:rFonts w:ascii="Times New Roman" w:hAnsi="Times New Roman"/>
          <w:i/>
          <w:caps w:val="false"/>
          <w:smallCaps w:val="false"/>
          <w:sz w:val="20"/>
        </w:rPr>
        <w:t>,</w:t>
      </w:r>
      <w:r>
        <w:rPr>
          <w:rFonts w:ascii="Times New Roman" w:hAnsi="Times New Roman"/>
          <w:caps w:val="false"/>
          <w:smallCaps w:val="false"/>
          <w:sz w:val="20"/>
        </w:rPr>
        <w:t> purchased loans are initially recorded at fair value, and an allowance for expected credit losses is separately recognized in accordance with Topic </w:t>
      </w:r>
      <w:r>
        <w:rPr>
          <w:rStyle w:val="Emphasis"/>
          <w:rFonts w:ascii="Times New Roman" w:hAnsi="Times New Roman"/>
          <w:caps w:val="false"/>
          <w:smallCaps w:val="false"/>
          <w:sz w:val="20"/>
        </w:rPr>
        <w:t>326</w:t>
      </w:r>
      <w:r>
        <w:rPr>
          <w:rFonts w:ascii="Times New Roman" w:hAnsi="Times New Roman"/>
          <w:i/>
          <w:caps w:val="false"/>
          <w:smallCaps w:val="false"/>
          <w:sz w:val="20"/>
        </w:rPr>
        <w:t>.</w:t>
      </w:r>
      <w:r>
        <w:rPr>
          <w:rFonts w:ascii="Times New Roman" w:hAnsi="Times New Roman"/>
          <w:caps w:val="false"/>
          <w:smallCaps w:val="false"/>
          <w:sz w:val="20"/>
        </w:rPr>
        <w:t> If a financial asset acquired has a “more-than-insignificant” deterioration of credit quality since its origination, it is accounted for as a purchased financial asset with credit deterioration ("PCD") using a “gross-up approach.” The gross-up approach requires recognition of an allowance for credit losses ("ACL") for the estimate of credit losses at the acquisition date. The ACL is recorded with an offsetting gross-up adjustment to the purchase price of the acquired financial asset. If a financial asset acquired does </w:t>
      </w:r>
      <w:r>
        <w:rPr>
          <w:rStyle w:val="Emphasis"/>
          <w:rFonts w:ascii="Times New Roman" w:hAnsi="Times New Roman"/>
          <w:caps w:val="false"/>
          <w:smallCaps w:val="false"/>
          <w:sz w:val="20"/>
        </w:rPr>
        <w:t>not</w:t>
      </w:r>
      <w:r>
        <w:rPr>
          <w:rFonts w:ascii="Times New Roman" w:hAnsi="Times New Roman"/>
          <w:caps w:val="false"/>
          <w:smallCaps w:val="false"/>
          <w:sz w:val="20"/>
        </w:rPr>
        <w:t> have “more-than-insignificant” deterioration of credit quality since its origination ("non-PCD"), the ACL is recognized with a corresponding charge to credit loss expense. The amendments in this ASU expand the population of acquired financial assets subject to the gross-up approach in Topic </w:t>
      </w:r>
      <w:r>
        <w:rPr>
          <w:rStyle w:val="Emphasis"/>
          <w:rFonts w:ascii="Times New Roman" w:hAnsi="Times New Roman"/>
          <w:caps w:val="false"/>
          <w:smallCaps w:val="false"/>
          <w:sz w:val="20"/>
        </w:rPr>
        <w:t>326</w:t>
      </w:r>
      <w:r>
        <w:rPr>
          <w:rFonts w:ascii="Times New Roman" w:hAnsi="Times New Roman"/>
          <w:i/>
          <w:caps w:val="false"/>
          <w:smallCaps w:val="false"/>
          <w:sz w:val="20"/>
        </w:rPr>
        <w:t>.</w:t>
      </w:r>
      <w:r>
        <w:rPr>
          <w:rFonts w:ascii="Times New Roman" w:hAnsi="Times New Roman"/>
          <w:caps w:val="false"/>
          <w:smallCaps w:val="false"/>
          <w:sz w:val="20"/>
        </w:rPr>
        <w:t> In accordance with the amendments in this ASU, loans acquired without credit deterioration and deemed “seasoned” are purchased seasoned loans and accounted for using the gross-up approach at acquisition. All non-PCD loans that are acquired in a business combination are deemed seasoned. Other non-PCD loans are seasoned if they were purchased at least </w:t>
      </w:r>
      <w:r>
        <w:rPr>
          <w:rStyle w:val="Emphasis"/>
          <w:rFonts w:ascii="Times New Roman" w:hAnsi="Times New Roman"/>
          <w:caps w:val="false"/>
          <w:smallCaps w:val="false"/>
          <w:sz w:val="20"/>
        </w:rPr>
        <w:t>90</w:t>
      </w:r>
      <w:r>
        <w:rPr>
          <w:rFonts w:ascii="Times New Roman" w:hAnsi="Times New Roman"/>
          <w:caps w:val="false"/>
          <w:smallCaps w:val="false"/>
          <w:sz w:val="20"/>
        </w:rPr>
        <w:t> days after origination and the acquirer was </w:t>
      </w:r>
      <w:r>
        <w:rPr>
          <w:rStyle w:val="Emphasis"/>
          <w:rFonts w:ascii="Times New Roman" w:hAnsi="Times New Roman"/>
          <w:caps w:val="false"/>
          <w:smallCaps w:val="false"/>
          <w:sz w:val="20"/>
        </w:rPr>
        <w:t>not</w:t>
      </w:r>
      <w:r>
        <w:rPr>
          <w:rFonts w:ascii="Times New Roman" w:hAnsi="Times New Roman"/>
          <w:caps w:val="false"/>
          <w:smallCaps w:val="false"/>
          <w:sz w:val="20"/>
        </w:rPr>
        <w:t> involved in the origination of the loans. The amendments in this ASU are effective for all entities for annual reporting periods beginning after </w:t>
      </w:r>
      <w:r>
        <w:rPr>
          <w:rStyle w:val="Emphasis"/>
          <w:rFonts w:ascii="Times New Roman" w:hAnsi="Times New Roman"/>
          <w:caps w:val="false"/>
          <w:smallCaps w:val="false"/>
          <w:sz w:val="20"/>
        </w:rPr>
        <w:t xml:space="preserve"> December 15, 2026</w:t>
      </w:r>
      <w:r>
        <w:rPr>
          <w:rFonts w:ascii="Times New Roman" w:hAnsi="Times New Roman"/>
          <w:i/>
          <w:caps w:val="false"/>
          <w:smallCaps w:val="false"/>
          <w:sz w:val="20"/>
        </w:rPr>
        <w:t>,</w:t>
      </w:r>
      <w:r>
        <w:rPr>
          <w:rFonts w:ascii="Times New Roman" w:hAnsi="Times New Roman"/>
          <w:caps w:val="false"/>
          <w:smallCaps w:val="false"/>
          <w:sz w:val="20"/>
        </w:rPr>
        <w:t> and interim reporting periods within those annual reporting periods. Early adoption is permitted. The amendments in this ASU should be applied prospectively to loans that are acquired on or after the initial application date. The Company adopted this guidance, effective </w:t>
      </w:r>
      <w:r>
        <w:rPr>
          <w:rStyle w:val="Emphasis"/>
          <w:rFonts w:ascii="Times New Roman" w:hAnsi="Times New Roman"/>
          <w:caps w:val="false"/>
          <w:smallCaps w:val="false"/>
          <w:sz w:val="20"/>
        </w:rPr>
        <w:t xml:space="preserve"> January 1, 2026</w:t>
      </w:r>
      <w:r>
        <w:rPr>
          <w:rFonts w:ascii="Times New Roman" w:hAnsi="Times New Roman"/>
          <w:i/>
          <w:caps w:val="false"/>
          <w:smallCaps w:val="false"/>
          <w:sz w:val="20"/>
        </w:rPr>
        <w:t>.</w:t>
      </w:r>
      <w:r>
        <w:rPr>
          <w:rFonts w:ascii="Times New Roman" w:hAnsi="Times New Roman"/>
          <w:caps w:val="false"/>
          <w:smallCaps w:val="false"/>
          <w:sz w:val="20"/>
        </w:rPr>
        <w:t xml:space="preserve"> After adoption, the Company applied the gross-up approach to recording an ACL for purchased seasoned loans. The adoption had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material impact on the Company’s consolidated financial statements.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i/>
          <w:sz w:val="20"/>
        </w:rPr>
        <w:t xml:space="preserve">Recently issued </w:t>
      </w:r>
      <w:r>
        <w:rPr>
          <w:rStyle w:val="Emphasis"/>
          <w:rFonts w:ascii="Times New Roman;Times;serif" w:hAnsi="Times New Roman;Times;serif"/>
          <w:i/>
          <w:sz w:val="20"/>
        </w:rPr>
        <w:t>not</w:t>
      </w:r>
      <w:r>
        <w:rPr>
          <w:rFonts w:ascii="Times New Roman;Times;serif" w:hAnsi="Times New Roman;Times;serif"/>
          <w:i/>
          <w:sz w:val="20"/>
        </w:rPr>
        <w:t xml:space="preserve"> yet effective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October 2023,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06,</w:t>
      </w:r>
      <w:r>
        <w:rPr>
          <w:rFonts w:ascii="Times New Roman" w:hAnsi="Times New Roman"/>
          <w:caps w:val="false"/>
          <w:smallCaps w:val="false"/>
          <w:sz w:val="20"/>
        </w:rPr>
        <w:t xml:space="preserve"> Disclosure Improvements. This pronouncement amends the FASB Accounting Standards Codification to reflect updates and simplifications to certain disclosure requirements referred to the FASB by the SEC in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including disclosures for the statement of cash flows, earnings per share, commitments, debt and equity instruments, and certain industry information, among other things. Each amendment is effective when the related disclosure is effectively removed from Regulations S-</w:t>
      </w:r>
      <w:r>
        <w:rPr>
          <w:rStyle w:val="Emphasis"/>
          <w:rFonts w:ascii="Times New Roman" w:hAnsi="Times New Roman"/>
          <w:caps w:val="false"/>
          <w:smallCaps w:val="false"/>
          <w:sz w:val="20"/>
        </w:rPr>
        <w:t>X</w:t>
      </w:r>
      <w:r>
        <w:rPr>
          <w:rFonts w:ascii="Times New Roman" w:hAnsi="Times New Roman"/>
          <w:caps w:val="false"/>
          <w:smallCaps w:val="false"/>
          <w:sz w:val="20"/>
        </w:rPr>
        <w:t xml:space="preserve"> or S-K; early adoption is prohibited. All amendments should be applied prospectively. If the SEC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removed the applicable requirement from Regulation S-</w:t>
      </w:r>
      <w:r>
        <w:rPr>
          <w:rStyle w:val="Emphasis"/>
          <w:rFonts w:ascii="Times New Roman" w:hAnsi="Times New Roman"/>
          <w:caps w:val="false"/>
          <w:smallCaps w:val="false"/>
          <w:sz w:val="20"/>
        </w:rPr>
        <w:t>X</w:t>
      </w:r>
      <w:r>
        <w:rPr>
          <w:rFonts w:ascii="Times New Roman" w:hAnsi="Times New Roman"/>
          <w:caps w:val="false"/>
          <w:smallCaps w:val="false"/>
          <w:sz w:val="20"/>
        </w:rPr>
        <w:t xml:space="preserve"> or Regulation S-K by </w:t>
      </w:r>
      <w:r>
        <w:rPr>
          <w:rStyle w:val="Emphasis"/>
          <w:rFonts w:ascii="Times New Roman" w:hAnsi="Times New Roman"/>
          <w:caps w:val="false"/>
          <w:smallCaps w:val="false"/>
          <w:sz w:val="20"/>
        </w:rPr>
        <w:t xml:space="preserve">June 30, 2027, </w:t>
      </w:r>
      <w:r>
        <w:rPr>
          <w:rFonts w:ascii="Times New Roman" w:hAnsi="Times New Roman"/>
          <w:caps w:val="false"/>
          <w:smallCaps w:val="false"/>
          <w:sz w:val="20"/>
        </w:rPr>
        <w:t xml:space="preserve">the pending amendments will be removed and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become effective for any entity. Adoption of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06</w:t>
      </w:r>
      <w:r>
        <w:rPr>
          <w:rFonts w:ascii="Times New Roman" w:hAnsi="Times New Roman"/>
          <w:caps w:val="false"/>
          <w:smallCaps w:val="false"/>
          <w:sz w:val="20"/>
        </w:rPr>
        <w:t xml:space="preserve">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expected to have a material impact on the Company's consolidated financial statements.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2024,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Income Statement - Reporting Comprehensive Income - Expense Disaggregation Disclosures (Subtopic </w:t>
      </w:r>
      <w:r>
        <w:rPr>
          <w:rStyle w:val="Emphasis"/>
          <w:rFonts w:ascii="Times New Roman" w:hAnsi="Times New Roman"/>
          <w:caps w:val="false"/>
          <w:smallCaps w:val="false"/>
          <w:sz w:val="20"/>
        </w:rPr>
        <w:t>220</w:t>
      </w:r>
      <w:r>
        <w:rPr>
          <w:rFonts w:ascii="Times New Roman" w:hAnsi="Times New Roman"/>
          <w:caps w:val="false"/>
          <w:smallCaps w:val="false"/>
          <w:sz w:val="20"/>
        </w:rPr>
        <w:t>-</w:t>
      </w:r>
      <w:r>
        <w:rPr>
          <w:rStyle w:val="Emphasis"/>
          <w:rFonts w:ascii="Times New Roman" w:hAnsi="Times New Roman"/>
          <w:caps w:val="false"/>
          <w:smallCaps w:val="false"/>
          <w:sz w:val="20"/>
        </w:rPr>
        <w:t>40</w:t>
      </w:r>
      <w:r>
        <w:rPr>
          <w:rFonts w:ascii="Times New Roman" w:hAnsi="Times New Roman"/>
          <w:caps w:val="false"/>
          <w:smallCaps w:val="false"/>
          <w:sz w:val="20"/>
        </w:rPr>
        <w:t xml:space="preserve">).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requires disaggregated disclosure of income statement expenses within the footnotes to the financial statements for any relevant expense caption presented on the face of the income statement within continuing operations into the following required natural expense categories, as applicable: (</w:t>
      </w:r>
      <w:r>
        <w:rPr>
          <w:rStyle w:val="Emphasis"/>
          <w:rFonts w:ascii="Times New Roman" w:hAnsi="Times New Roman"/>
          <w:caps w:val="false"/>
          <w:smallCaps w:val="false"/>
          <w:sz w:val="20"/>
        </w:rPr>
        <w:t>1</w:t>
      </w:r>
      <w:r>
        <w:rPr>
          <w:rFonts w:ascii="Times New Roman" w:hAnsi="Times New Roman"/>
          <w:caps w:val="false"/>
          <w:smallCaps w:val="false"/>
          <w:sz w:val="20"/>
        </w:rPr>
        <w:t>) purchases of inventory, (</w:t>
      </w:r>
      <w:r>
        <w:rPr>
          <w:rStyle w:val="Emphasis"/>
          <w:rFonts w:ascii="Times New Roman" w:hAnsi="Times New Roman"/>
          <w:caps w:val="false"/>
          <w:smallCaps w:val="false"/>
          <w:sz w:val="20"/>
        </w:rPr>
        <w:t>2</w:t>
      </w:r>
      <w:r>
        <w:rPr>
          <w:rFonts w:ascii="Times New Roman" w:hAnsi="Times New Roman"/>
          <w:caps w:val="false"/>
          <w:smallCaps w:val="false"/>
          <w:sz w:val="20"/>
        </w:rPr>
        <w:t>) employee compensation, (</w:t>
      </w:r>
      <w:r>
        <w:rPr>
          <w:rStyle w:val="Emphasis"/>
          <w:rFonts w:ascii="Times New Roman" w:hAnsi="Times New Roman"/>
          <w:caps w:val="false"/>
          <w:smallCaps w:val="false"/>
          <w:sz w:val="20"/>
        </w:rPr>
        <w:t>3</w:t>
      </w:r>
      <w:r>
        <w:rPr>
          <w:rFonts w:ascii="Times New Roman" w:hAnsi="Times New Roman"/>
          <w:caps w:val="false"/>
          <w:smallCaps w:val="false"/>
          <w:sz w:val="20"/>
        </w:rPr>
        <w:t>) depreciation, (</w:t>
      </w:r>
      <w:r>
        <w:rPr>
          <w:rStyle w:val="Emphasis"/>
          <w:rFonts w:ascii="Times New Roman" w:hAnsi="Times New Roman"/>
          <w:caps w:val="false"/>
          <w:smallCaps w:val="false"/>
          <w:sz w:val="20"/>
        </w:rPr>
        <w:t>4</w:t>
      </w:r>
      <w:r>
        <w:rPr>
          <w:rFonts w:ascii="Times New Roman" w:hAnsi="Times New Roman"/>
          <w:caps w:val="false"/>
          <w:smallCaps w:val="false"/>
          <w:sz w:val="20"/>
        </w:rPr>
        <w:t>) intangible asset amortization, and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depreciation, depletion and amortization recognized as part of oil- and gas-producing activities or other types of depletion services.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is effective for annual periods beginning after </w:t>
      </w:r>
      <w:r>
        <w:rPr>
          <w:rStyle w:val="Emphasis"/>
          <w:rFonts w:ascii="Times New Roman" w:hAnsi="Times New Roman"/>
          <w:caps w:val="false"/>
          <w:smallCaps w:val="false"/>
          <w:sz w:val="20"/>
        </w:rPr>
        <w:t xml:space="preserve">December 15, 2026, </w:t>
      </w:r>
      <w:r>
        <w:rPr>
          <w:rFonts w:ascii="Times New Roman" w:hAnsi="Times New Roman"/>
          <w:caps w:val="false"/>
          <w:smallCaps w:val="false"/>
          <w:sz w:val="20"/>
        </w:rPr>
        <w:t xml:space="preserve">and interim periods within fiscal years beginning after </w:t>
      </w:r>
      <w:r>
        <w:rPr>
          <w:rStyle w:val="Emphasis"/>
          <w:rFonts w:ascii="Times New Roman" w:hAnsi="Times New Roman"/>
          <w:caps w:val="false"/>
          <w:smallCaps w:val="false"/>
          <w:sz w:val="20"/>
        </w:rPr>
        <w:t xml:space="preserve">December 15, 2027. </w:t>
      </w:r>
      <w:r>
        <w:rPr>
          <w:rFonts w:ascii="Times New Roman" w:hAnsi="Times New Roman"/>
          <w:caps w:val="false"/>
          <w:smallCaps w:val="false"/>
          <w:sz w:val="20"/>
        </w:rPr>
        <w:t xml:space="preserve">Early adoption is permitted. The guidance should be applied prospectively with an option to apply it retrospectively for each period presented. Adoption of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expected to have a material impact on the Company's consolidated financial statements.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December </w:t>
      </w:r>
      <w:r>
        <w:rPr>
          <w:rFonts w:ascii="Times New Roman" w:hAnsi="Times New Roman"/>
          <w:caps w:val="false"/>
          <w:smallCaps w:val="false"/>
          <w:sz w:val="20"/>
        </w:rPr>
        <w:t xml:space="preserve">of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FASB issued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Government Grants (Topic </w:t>
      </w:r>
      <w:r>
        <w:rPr>
          <w:rStyle w:val="Emphasis"/>
          <w:rFonts w:ascii="Times New Roman" w:hAnsi="Times New Roman"/>
          <w:caps w:val="false"/>
          <w:smallCaps w:val="false"/>
          <w:sz w:val="20"/>
        </w:rPr>
        <w:t>832</w:t>
      </w:r>
      <w:r>
        <w:rPr>
          <w:rFonts w:ascii="Times New Roman" w:hAnsi="Times New Roman"/>
          <w:caps w:val="false"/>
          <w:smallCaps w:val="false"/>
          <w:sz w:val="20"/>
        </w:rPr>
        <w:t xml:space="preserve">) – Accounting for Government Grants Received by Business Entities.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creates authoritative guidance for business entities for the accounting for government grants. Prior to the issuance of this guidance, there was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specific authoritative guidance within GAAP regarding the recognition, measurement, and presentation of a government grant received by a business entity and, as a result, many entities used other sections of authoritative accounting literature by analogy to account for government grants that were received. The new guidance requires that a government grant received by a business entity should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recognized until: (</w:t>
      </w:r>
      <w:r>
        <w:rPr>
          <w:rStyle w:val="Emphasis"/>
          <w:rFonts w:ascii="Times New Roman" w:hAnsi="Times New Roman"/>
          <w:caps w:val="false"/>
          <w:smallCaps w:val="false"/>
          <w:sz w:val="20"/>
        </w:rPr>
        <w:t>1</w:t>
      </w:r>
      <w:r>
        <w:rPr>
          <w:rFonts w:ascii="Times New Roman" w:hAnsi="Times New Roman"/>
          <w:caps w:val="false"/>
          <w:smallCaps w:val="false"/>
          <w:sz w:val="20"/>
        </w:rPr>
        <w:t>) it is probable that (a) a business entity will comply with the conditions attached to the grant and (b) the grant will be received; and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a business entity meets the recognition guidance for a grant in ASC </w:t>
      </w:r>
      <w:r>
        <w:rPr>
          <w:rStyle w:val="Emphasis"/>
          <w:rFonts w:ascii="Times New Roman" w:hAnsi="Times New Roman"/>
          <w:caps w:val="false"/>
          <w:smallCaps w:val="false"/>
          <w:sz w:val="20"/>
        </w:rPr>
        <w:t>832.</w:t>
      </w:r>
      <w:r>
        <w:rPr>
          <w:rFonts w:ascii="Times New Roman" w:hAnsi="Times New Roman"/>
          <w:caps w:val="false"/>
          <w:smallCaps w:val="false"/>
          <w:sz w:val="20"/>
        </w:rPr>
        <w:t xml:space="preserve"> The new guidance also establishes classification guidance for grants in the consolidated financial statements and prescribes disclosures of grants that include the nature of the government grant received, the accounting policies used to account for the grant, and significant terms and conditions of the grant. The amendments in this ASU are effective for annual reporting periods beginning after </w:t>
      </w:r>
      <w:r>
        <w:rPr>
          <w:rStyle w:val="Emphasis"/>
          <w:rFonts w:ascii="Times New Roman" w:hAnsi="Times New Roman"/>
          <w:caps w:val="false"/>
          <w:smallCaps w:val="false"/>
          <w:sz w:val="20"/>
        </w:rPr>
        <w:t xml:space="preserve">December 15, 2028, </w:t>
      </w:r>
      <w:r>
        <w:rPr>
          <w:rFonts w:ascii="Times New Roman" w:hAnsi="Times New Roman"/>
          <w:caps w:val="false"/>
          <w:smallCaps w:val="false"/>
          <w:sz w:val="20"/>
        </w:rPr>
        <w:t xml:space="preserve">and interim reporting periods within those annual reporting periods. Early adoption is permitted. The amendments </w:t>
      </w:r>
      <w:r>
        <w:rPr>
          <w:rStyle w:val="Emphasis"/>
          <w:rFonts w:ascii="Times New Roman" w:hAnsi="Times New Roman"/>
          <w:caps w:val="false"/>
          <w:smallCaps w:val="false"/>
          <w:sz w:val="20"/>
        </w:rPr>
        <w:t>may </w:t>
      </w:r>
      <w:r>
        <w:rPr>
          <w:rFonts w:ascii="Times New Roman" w:hAnsi="Times New Roman"/>
          <w:caps w:val="false"/>
          <w:smallCaps w:val="false"/>
          <w:sz w:val="20"/>
        </w:rPr>
        <w:t xml:space="preserve">be adopted using either a modified prospective, modified retrospective, or retrospective approach. Adoption of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expected to have a material impact on the Company’s consolidated financial statements.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December </w:t>
      </w:r>
      <w:r>
        <w:rPr>
          <w:rFonts w:ascii="Times New Roman" w:hAnsi="Times New Roman"/>
          <w:caps w:val="false"/>
          <w:smallCaps w:val="false"/>
          <w:sz w:val="20"/>
        </w:rPr>
        <w:t xml:space="preserve">of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FASB issued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11,</w:t>
      </w:r>
      <w:r>
        <w:rPr>
          <w:rFonts w:ascii="Times New Roman" w:hAnsi="Times New Roman"/>
          <w:caps w:val="false"/>
          <w:smallCaps w:val="false"/>
          <w:sz w:val="20"/>
        </w:rPr>
        <w:t xml:space="preserve"> Interim Reporting (Topic </w:t>
      </w:r>
      <w:r>
        <w:rPr>
          <w:rStyle w:val="Emphasis"/>
          <w:rFonts w:ascii="Times New Roman" w:hAnsi="Times New Roman"/>
          <w:caps w:val="false"/>
          <w:smallCaps w:val="false"/>
          <w:sz w:val="20"/>
        </w:rPr>
        <w:t>270</w:t>
      </w:r>
      <w:r>
        <w:rPr>
          <w:rFonts w:ascii="Times New Roman" w:hAnsi="Times New Roman"/>
          <w:caps w:val="false"/>
          <w:smallCaps w:val="false"/>
          <w:sz w:val="20"/>
        </w:rPr>
        <w:t xml:space="preserve">) – Narrow-Scope Improvements. The guidance in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11</w:t>
      </w:r>
      <w:r>
        <w:rPr>
          <w:rFonts w:ascii="Times New Roman" w:hAnsi="Times New Roman"/>
          <w:caps w:val="false"/>
          <w:smallCaps w:val="false"/>
          <w:sz w:val="20"/>
        </w:rPr>
        <w:t xml:space="preserve"> was issued to improve the guidance in ASC by clarifying the required interim disclosures and when that guidance is applicable. The amendments add to Topic </w:t>
      </w:r>
      <w:r>
        <w:rPr>
          <w:rStyle w:val="Emphasis"/>
          <w:rFonts w:ascii="Times New Roman" w:hAnsi="Times New Roman"/>
          <w:caps w:val="false"/>
          <w:smallCaps w:val="false"/>
          <w:sz w:val="20"/>
        </w:rPr>
        <w:t>270</w:t>
      </w:r>
      <w:r>
        <w:rPr>
          <w:rFonts w:ascii="Times New Roman" w:hAnsi="Times New Roman"/>
          <w:caps w:val="false"/>
          <w:smallCaps w:val="false"/>
          <w:sz w:val="20"/>
        </w:rPr>
        <w:t xml:space="preserve"> a principle that requires entities to disclose events since the end of the last annual reporting period that have a material impact on the entity. The new guidance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change the fundamental nature of interim reporting or expand or reduce current interim disclosure requirements but rather provides clarity on the current interim reporting requirements. The amendments in this ASU are effective for interim reporting periods within annual reporting periods beginning after </w:t>
      </w:r>
      <w:r>
        <w:rPr>
          <w:rStyle w:val="Emphasis"/>
          <w:rFonts w:ascii="Times New Roman" w:hAnsi="Times New Roman"/>
          <w:caps w:val="false"/>
          <w:smallCaps w:val="false"/>
          <w:sz w:val="20"/>
        </w:rPr>
        <w:t xml:space="preserve">December 15, 2027. </w:t>
      </w:r>
      <w:r>
        <w:rPr>
          <w:rFonts w:ascii="Times New Roman" w:hAnsi="Times New Roman"/>
          <w:caps w:val="false"/>
          <w:smallCaps w:val="false"/>
          <w:sz w:val="20"/>
        </w:rPr>
        <w:t>Early adoption is permitted. The amendments in this ASU can be applied either (</w:t>
      </w:r>
      <w:r>
        <w:rPr>
          <w:rStyle w:val="Emphasis"/>
          <w:rFonts w:ascii="Times New Roman" w:hAnsi="Times New Roman"/>
          <w:caps w:val="false"/>
          <w:smallCaps w:val="false"/>
          <w:sz w:val="20"/>
        </w:rPr>
        <w:t>1</w:t>
      </w:r>
      <w:r>
        <w:rPr>
          <w:rFonts w:ascii="Times New Roman" w:hAnsi="Times New Roman"/>
          <w:caps w:val="false"/>
          <w:smallCaps w:val="false"/>
          <w:sz w:val="20"/>
        </w:rPr>
        <w:t>) prospectively or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retrospectively to any or all prior periods presented in the financial statements. Adoption of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11</w:t>
      </w:r>
      <w:r>
        <w:rPr>
          <w:rFonts w:ascii="Times New Roman" w:hAnsi="Times New Roman"/>
          <w:caps w:val="false"/>
          <w:smallCaps w:val="false"/>
          <w:sz w:val="20"/>
        </w:rPr>
        <w:t xml:space="preserve">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expected to have a material impact on the Company’s consolidated financial statements.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3</w:t>
      </w:r>
      <w:r>
        <w:rPr>
          <w:rFonts w:ascii="Times New Roman" w:hAnsi="Times New Roman"/>
          <w:b/>
          <w:caps w:val="false"/>
          <w:smallCaps w:val="false"/>
          <w:sz w:val="20"/>
        </w:rPr>
        <w:t xml:space="preserve"> - INVESTMENT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investment portfolio is comprised primarily of U.S. government and SBA agency securities, mortgage-backed securities ("MBS") backed by government-sponsored entities, collateral mortgage obligations ("CMO") and commercial paper. The following table summarizes the amortized cost and fair value of investment securities available for sale (“AFS”) and held to maturity (“HTM”) and the corresponding amounts of gross unrealized gains and losses as of the dates indicated:</w:t>
      </w:r>
    </w:p>
    <w:p>
      <w:pPr>
        <w:pStyle w:val="TextBody"/>
        <w:bidi w:val="0"/>
        <w:spacing w:before="0" w:after="0"/>
        <w:ind w:left="0" w:right="0" w:firstLine="540"/>
        <w:jc w:val="both"/>
        <w:rPr>
          <w:caps w:val="false"/>
          <w:smallCaps w:val="false"/>
        </w:rPr>
      </w:pPr>
      <w:r>
        <w:rPr>
          <w:caps w:val="false"/>
          <w:smallCaps w:val="false"/>
        </w:rPr>
        <w:t> </w:t>
      </w:r>
    </w:p>
    <w:tbl>
      <w:tblPr>
        <w:tblW w:w="6680" w:type="dxa"/>
        <w:jc w:val="left"/>
        <w:tblInd w:w="0" w:type="dxa"/>
        <w:tblLayout w:type="fixed"/>
        <w:tblCellMar>
          <w:top w:w="0" w:type="dxa"/>
          <w:left w:w="0" w:type="dxa"/>
          <w:bottom w:w="0" w:type="dxa"/>
          <w:right w:w="0" w:type="dxa"/>
        </w:tblCellMar>
      </w:tblPr>
      <w:tblGrid>
        <w:gridCol w:w="2645"/>
        <w:gridCol w:w="60"/>
        <w:gridCol w:w="133"/>
        <w:gridCol w:w="742"/>
        <w:gridCol w:w="60"/>
        <w:gridCol w:w="60"/>
        <w:gridCol w:w="248"/>
        <w:gridCol w:w="672"/>
        <w:gridCol w:w="60"/>
        <w:gridCol w:w="60"/>
        <w:gridCol w:w="148"/>
        <w:gridCol w:w="772"/>
        <w:gridCol w:w="80"/>
        <w:gridCol w:w="60"/>
        <w:gridCol w:w="125"/>
        <w:gridCol w:w="695"/>
        <w:gridCol w:w="60"/>
      </w:tblGrid>
      <w:tr>
        <w:trPr/>
        <w:tc>
          <w:tcPr>
            <w:tcW w:w="26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Gross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Gross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gridSpan w:val="2"/>
            <w:tcBorders/>
            <w:shd w:fill="FFFFFF" w:val="clear"/>
            <w:vAlign w:val="center"/>
          </w:tcPr>
          <w:p>
            <w:pPr>
              <w:pStyle w:val="TableContents"/>
              <w:bidi w:val="0"/>
              <w:spacing w:before="0" w:after="283"/>
              <w:jc w:val="center"/>
              <w:rPr/>
            </w:pPr>
            <w:r>
              <w:rPr>
                <w:rStyle w:val="Emphasis"/>
                <w:rFonts w:ascii="Times New Roman" w:hAnsi="Times New Roman"/>
                <w:b/>
                <w:sz w:val="20"/>
              </w:rPr>
              <w:t>Amortized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gridSpan w:val="2"/>
            <w:tcBorders/>
            <w:shd w:fill="FFFFFF" w:val="clear"/>
            <w:vAlign w:val="center"/>
          </w:tcPr>
          <w:p>
            <w:pPr>
              <w:pStyle w:val="TableContents"/>
              <w:bidi w:val="0"/>
              <w:spacing w:before="0" w:after="283"/>
              <w:jc w:val="center"/>
              <w:rPr/>
            </w:pPr>
            <w:r>
              <w:rPr>
                <w:rStyle w:val="Emphasis"/>
                <w:rFonts w:ascii="Times New Roman" w:hAnsi="Times New Roman"/>
                <w:b/>
                <w:sz w:val="20"/>
              </w:rPr>
              <w:t>Unrealized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gridSpan w:val="2"/>
            <w:tcBorders/>
            <w:shd w:fill="FFFFFF" w:val="clear"/>
            <w:vAlign w:val="center"/>
          </w:tcPr>
          <w:p>
            <w:pPr>
              <w:pStyle w:val="TableContents"/>
              <w:bidi w:val="0"/>
              <w:spacing w:before="0" w:after="283"/>
              <w:jc w:val="center"/>
              <w:rPr/>
            </w:pPr>
            <w:r>
              <w:rPr>
                <w:rStyle w:val="Emphasis"/>
                <w:rFonts w:ascii="Times New Roman" w:hAnsi="Times New Roman"/>
                <w:b/>
                <w:sz w:val="20"/>
              </w:rPr>
              <w:t>Unrealized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0" w:type="dxa"/>
            <w:gridSpan w:val="2"/>
            <w:tcBorders/>
            <w:shd w:fill="FFFFFF" w:val="clear"/>
            <w:vAlign w:val="center"/>
          </w:tcPr>
          <w:p>
            <w:pPr>
              <w:pStyle w:val="TableContents"/>
              <w:bidi w:val="0"/>
              <w:spacing w:before="0" w:after="283"/>
              <w:jc w:val="center"/>
              <w:rPr/>
            </w:pPr>
            <w:r>
              <w:rPr>
                <w:rStyle w:val="Emphasis"/>
                <w:rFonts w:ascii="Times New Roman" w:hAnsi="Times New Roman"/>
                <w:b/>
                <w:sz w:val="20"/>
              </w:rPr>
              <w:t>Fair</w:t>
            </w:r>
          </w:p>
        </w:tc>
        <w:tc>
          <w:tcPr>
            <w:tcW w:w="60" w:type="dxa"/>
            <w:tcBorders/>
            <w:shd w:fill="FFFFFF" w:val="clear"/>
            <w:vAlign w:val="center"/>
          </w:tcPr>
          <w:p>
            <w:pPr>
              <w:pStyle w:val="TableContents"/>
              <w:bidi w:val="0"/>
              <w:spacing w:before="0" w:after="283"/>
              <w:jc w:val="left"/>
              <w:rPr/>
            </w:pPr>
            <w:r>
              <w:rPr/>
              <w:t> </w:t>
            </w:r>
          </w:p>
        </w:tc>
      </w:tr>
      <w:tr>
        <w:trPr/>
        <w:tc>
          <w:tcPr>
            <w:tcW w:w="26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June 30, 2026</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Gains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Losses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Value</w:t>
            </w:r>
          </w:p>
        </w:tc>
        <w:tc>
          <w:tcPr>
            <w:tcW w:w="60" w:type="dxa"/>
            <w:tcBorders/>
            <w:shd w:fill="FFFF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Available for sale</w:t>
            </w:r>
          </w:p>
        </w:tc>
        <w:tc>
          <w:tcPr>
            <w:tcW w:w="60" w:type="dxa"/>
            <w:tcBorders/>
            <w:shd w:fill="FFFFFF" w:val="clear"/>
            <w:vAlign w:val="center"/>
          </w:tcPr>
          <w:p>
            <w:pPr>
              <w:pStyle w:val="TableContents"/>
              <w:bidi w:val="0"/>
              <w:spacing w:before="0" w:after="283"/>
              <w:ind w:left="0" w:right="0" w:hanging="0"/>
              <w:jc w:val="left"/>
              <w:rPr/>
            </w:pPr>
            <w:r>
              <w:rPr/>
              <w:t> </w:t>
            </w:r>
          </w:p>
        </w:tc>
        <w:tc>
          <w:tcPr>
            <w:tcW w:w="3915" w:type="dxa"/>
            <w:gridSpan w:val="14"/>
            <w:tcBorders/>
            <w:shd w:fill="FFFFFF" w:val="clear"/>
            <w:vAlign w:val="center"/>
          </w:tcPr>
          <w:p>
            <w:pPr>
              <w:pStyle w:val="TableContents"/>
              <w:bidi w:val="0"/>
              <w:spacing w:before="0" w:after="0"/>
              <w:ind w:left="0" w:right="0" w:hanging="0"/>
              <w:jc w:val="center"/>
              <w:rPr/>
            </w:pPr>
            <w:r>
              <w:rPr>
                <w:rStyle w:val="Emphasis"/>
                <w:rFonts w:ascii="Times New Roman" w:hAnsi="Times New Roman"/>
                <w:b/>
                <w:i/>
                <w:caps w:val="false"/>
                <w:smallCaps w:val="false"/>
                <w:sz w:val="20"/>
              </w:rPr>
              <w:t>(dollars in thousands)</w:t>
            </w:r>
          </w:p>
        </w:tc>
        <w:tc>
          <w:tcPr>
            <w:tcW w:w="60"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Government agency securities</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4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20,496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7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20,282</w:t>
            </w:r>
          </w:p>
        </w:tc>
        <w:tc>
          <w:tcPr>
            <w:tcW w:w="60"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SBA agency securities</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19,628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(309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19,319</w:t>
            </w:r>
          </w:p>
        </w:tc>
        <w:tc>
          <w:tcPr>
            <w:tcW w:w="60"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MBS: Residential</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93,622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(5,013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88,810</w:t>
            </w:r>
          </w:p>
        </w:tc>
        <w:tc>
          <w:tcPr>
            <w:tcW w:w="60"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540" w:right="0" w:hanging="540"/>
              <w:jc w:val="left"/>
              <w:rPr>
                <w:rFonts w:ascii="Times New Roman" w:hAnsi="Times New Roman"/>
                <w:caps w:val="false"/>
                <w:smallCaps w:val="false"/>
                <w:sz w:val="20"/>
              </w:rPr>
            </w:pPr>
            <w:r>
              <w:rPr>
                <w:rFonts w:ascii="Times New Roman" w:hAnsi="Times New Roman"/>
                <w:caps w:val="false"/>
                <w:smallCaps w:val="false"/>
                <w:sz w:val="20"/>
              </w:rPr>
              <w:t>MBS: Commercial</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9,993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9,965</w:t>
            </w:r>
          </w:p>
        </w:tc>
        <w:tc>
          <w:tcPr>
            <w:tcW w:w="60"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CMO: Residential</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115,089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(9,381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105,867</w:t>
            </w:r>
          </w:p>
        </w:tc>
        <w:tc>
          <w:tcPr>
            <w:tcW w:w="60"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CMO: Commercial</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82,065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(2,141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80,035</w:t>
            </w:r>
          </w:p>
        </w:tc>
        <w:tc>
          <w:tcPr>
            <w:tcW w:w="60"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Commercial paper</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49,672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49,663</w:t>
            </w:r>
          </w:p>
        </w:tc>
        <w:tc>
          <w:tcPr>
            <w:tcW w:w="60"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Corporate debt securities</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24,907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(1,518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23,462</w:t>
            </w:r>
          </w:p>
        </w:tc>
        <w:tc>
          <w:tcPr>
            <w:tcW w:w="60"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Municipal tax-exempt securities</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42"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12,550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2"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72"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(2,793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9,757</w:t>
            </w:r>
          </w:p>
        </w:tc>
        <w:tc>
          <w:tcPr>
            <w:tcW w:w="60"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Total available for sale</w:t>
            </w:r>
          </w:p>
        </w:tc>
        <w:tc>
          <w:tcPr>
            <w:tcW w:w="60" w:type="dxa"/>
            <w:tcBorders/>
            <w:shd w:fill="FFFF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428,022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(21,406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407,160</w:t>
            </w:r>
          </w:p>
        </w:tc>
        <w:tc>
          <w:tcPr>
            <w:tcW w:w="60"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Held to maturity</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Municipal tax-exempt securities</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4,078</w:t>
            </w:r>
          </w:p>
        </w:tc>
        <w:tc>
          <w:tcPr>
            <w:tcW w:w="60"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Total held to maturity</w:t>
            </w:r>
          </w:p>
        </w:tc>
        <w:tc>
          <w:tcPr>
            <w:tcW w:w="60" w:type="dxa"/>
            <w:tcBorders/>
            <w:shd w:fill="FFFF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4,078</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6680" w:type="dxa"/>
        <w:jc w:val="left"/>
        <w:tblInd w:w="0" w:type="dxa"/>
        <w:tblLayout w:type="fixed"/>
        <w:tblCellMar>
          <w:top w:w="0" w:type="dxa"/>
          <w:left w:w="0" w:type="dxa"/>
          <w:bottom w:w="0" w:type="dxa"/>
          <w:right w:w="0" w:type="dxa"/>
        </w:tblCellMar>
      </w:tblPr>
      <w:tblGrid>
        <w:gridCol w:w="2645"/>
        <w:gridCol w:w="60"/>
        <w:gridCol w:w="133"/>
        <w:gridCol w:w="742"/>
        <w:gridCol w:w="60"/>
        <w:gridCol w:w="60"/>
        <w:gridCol w:w="188"/>
        <w:gridCol w:w="732"/>
        <w:gridCol w:w="60"/>
        <w:gridCol w:w="60"/>
        <w:gridCol w:w="148"/>
        <w:gridCol w:w="772"/>
        <w:gridCol w:w="80"/>
        <w:gridCol w:w="60"/>
        <w:gridCol w:w="125"/>
        <w:gridCol w:w="695"/>
        <w:gridCol w:w="60"/>
      </w:tblGrid>
      <w:tr>
        <w:trPr/>
        <w:tc>
          <w:tcPr>
            <w:tcW w:w="26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Gross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Gross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gridSpan w:val="2"/>
            <w:tcBorders/>
            <w:shd w:fill="FFFFFF" w:val="clear"/>
            <w:vAlign w:val="center"/>
          </w:tcPr>
          <w:p>
            <w:pPr>
              <w:pStyle w:val="TableContents"/>
              <w:bidi w:val="0"/>
              <w:spacing w:before="0" w:after="283"/>
              <w:jc w:val="center"/>
              <w:rPr/>
            </w:pPr>
            <w:r>
              <w:rPr>
                <w:rStyle w:val="Emphasis"/>
                <w:rFonts w:ascii="Times New Roman" w:hAnsi="Times New Roman"/>
                <w:b/>
                <w:sz w:val="20"/>
              </w:rPr>
              <w:t>Amortized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gridSpan w:val="2"/>
            <w:tcBorders/>
            <w:shd w:fill="FFFFFF" w:val="clear"/>
            <w:vAlign w:val="center"/>
          </w:tcPr>
          <w:p>
            <w:pPr>
              <w:pStyle w:val="TableContents"/>
              <w:bidi w:val="0"/>
              <w:spacing w:before="0" w:after="283"/>
              <w:jc w:val="center"/>
              <w:rPr/>
            </w:pPr>
            <w:r>
              <w:rPr>
                <w:rStyle w:val="Emphasis"/>
                <w:rFonts w:ascii="Times New Roman" w:hAnsi="Times New Roman"/>
                <w:b/>
                <w:sz w:val="20"/>
              </w:rPr>
              <w:t>Unrealized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gridSpan w:val="2"/>
            <w:tcBorders/>
            <w:shd w:fill="FFFFFF" w:val="clear"/>
            <w:vAlign w:val="center"/>
          </w:tcPr>
          <w:p>
            <w:pPr>
              <w:pStyle w:val="TableContents"/>
              <w:bidi w:val="0"/>
              <w:spacing w:before="0" w:after="283"/>
              <w:jc w:val="center"/>
              <w:rPr/>
            </w:pPr>
            <w:r>
              <w:rPr>
                <w:rStyle w:val="Emphasis"/>
                <w:rFonts w:ascii="Times New Roman" w:hAnsi="Times New Roman"/>
                <w:b/>
                <w:sz w:val="20"/>
              </w:rPr>
              <w:t>Unrealized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0" w:type="dxa"/>
            <w:gridSpan w:val="2"/>
            <w:tcBorders/>
            <w:shd w:fill="FFFFFF" w:val="clear"/>
            <w:vAlign w:val="center"/>
          </w:tcPr>
          <w:p>
            <w:pPr>
              <w:pStyle w:val="TableContents"/>
              <w:bidi w:val="0"/>
              <w:spacing w:before="0" w:after="283"/>
              <w:jc w:val="center"/>
              <w:rPr/>
            </w:pPr>
            <w:r>
              <w:rPr>
                <w:rStyle w:val="Emphasis"/>
                <w:rFonts w:ascii="Times New Roman" w:hAnsi="Times New Roman"/>
                <w:b/>
                <w:sz w:val="20"/>
              </w:rPr>
              <w:t>Fair</w:t>
            </w:r>
          </w:p>
        </w:tc>
        <w:tc>
          <w:tcPr>
            <w:tcW w:w="60" w:type="dxa"/>
            <w:tcBorders/>
            <w:shd w:fill="FFFFFF" w:val="clear"/>
            <w:vAlign w:val="center"/>
          </w:tcPr>
          <w:p>
            <w:pPr>
              <w:pStyle w:val="TableContents"/>
              <w:bidi w:val="0"/>
              <w:spacing w:before="0" w:after="283"/>
              <w:jc w:val="left"/>
              <w:rPr/>
            </w:pPr>
            <w:r>
              <w:rPr/>
              <w:t> </w:t>
            </w:r>
          </w:p>
        </w:tc>
      </w:tr>
      <w:tr>
        <w:trPr/>
        <w:tc>
          <w:tcPr>
            <w:tcW w:w="26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December 31, 2025</w:t>
            </w:r>
          </w:p>
        </w:tc>
        <w:tc>
          <w:tcPr>
            <w:tcW w:w="60" w:type="dxa"/>
            <w:tcBorders/>
            <w:shd w:fill="FFFFFF" w:val="clear"/>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Gains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Losses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Value</w:t>
            </w:r>
          </w:p>
        </w:tc>
        <w:tc>
          <w:tcPr>
            <w:tcW w:w="60" w:type="dxa"/>
            <w:tcBorders/>
            <w:shd w:fill="FFFF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Available for sale</w:t>
            </w:r>
          </w:p>
        </w:tc>
        <w:tc>
          <w:tcPr>
            <w:tcW w:w="60" w:type="dxa"/>
            <w:tcBorders/>
            <w:shd w:fill="FFFFFF" w:val="clear"/>
            <w:vAlign w:val="center"/>
          </w:tcPr>
          <w:p>
            <w:pPr>
              <w:pStyle w:val="TableContents"/>
              <w:bidi w:val="0"/>
              <w:spacing w:before="0" w:after="283"/>
              <w:ind w:left="0" w:right="0" w:hanging="0"/>
              <w:jc w:val="left"/>
              <w:rPr/>
            </w:pPr>
            <w:r>
              <w:rPr/>
              <w:t> </w:t>
            </w:r>
          </w:p>
        </w:tc>
        <w:tc>
          <w:tcPr>
            <w:tcW w:w="3915" w:type="dxa"/>
            <w:gridSpan w:val="14"/>
            <w:tcBorders/>
            <w:shd w:fill="FFFFFF" w:val="clear"/>
            <w:vAlign w:val="center"/>
          </w:tcPr>
          <w:p>
            <w:pPr>
              <w:pStyle w:val="TableContents"/>
              <w:bidi w:val="0"/>
              <w:spacing w:before="0" w:after="0"/>
              <w:ind w:left="0" w:right="0" w:hanging="0"/>
              <w:jc w:val="center"/>
              <w:rPr/>
            </w:pPr>
            <w:r>
              <w:rPr>
                <w:rStyle w:val="Emphasis"/>
                <w:rFonts w:ascii="Times New Roman" w:hAnsi="Times New Roman"/>
                <w:b/>
                <w:i/>
                <w:caps w:val="false"/>
                <w:smallCaps w:val="false"/>
                <w:sz w:val="20"/>
              </w:rPr>
              <w:t>(dollars in thousands)</w:t>
            </w:r>
          </w:p>
        </w:tc>
        <w:tc>
          <w:tcPr>
            <w:tcW w:w="60"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Government agency securities</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4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22,850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22,705</w:t>
            </w:r>
          </w:p>
        </w:tc>
        <w:tc>
          <w:tcPr>
            <w:tcW w:w="60"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SBA agency securities</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74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21,326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7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21,180</w:t>
            </w:r>
          </w:p>
        </w:tc>
        <w:tc>
          <w:tcPr>
            <w:tcW w:w="60"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MBS: Residential</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74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91,049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7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(4,505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87,178</w:t>
            </w:r>
          </w:p>
        </w:tc>
        <w:tc>
          <w:tcPr>
            <w:tcW w:w="60"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MBS: Commercial</w:t>
            </w:r>
          </w:p>
        </w:tc>
        <w:tc>
          <w:tcPr>
            <w:tcW w:w="60" w:type="dxa"/>
            <w:tcBorders/>
            <w:shd w:fill="FFFFFF" w:val="clear"/>
            <w:vAlign w:val="center"/>
          </w:tcPr>
          <w:p>
            <w:pPr>
              <w:pStyle w:val="TableContents"/>
              <w:bidi w:val="0"/>
              <w:spacing w:before="0" w:after="283"/>
              <w:ind w:left="0" w:right="0" w:hanging="0"/>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74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73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4,977</w:t>
            </w:r>
          </w:p>
        </w:tc>
        <w:tc>
          <w:tcPr>
            <w:tcW w:w="60"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CMO: Residential</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120,475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73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(8,740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112,495</w:t>
            </w:r>
          </w:p>
        </w:tc>
        <w:tc>
          <w:tcPr>
            <w:tcW w:w="60"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CMO: Commercial</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74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102,755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7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(2,161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100,777</w:t>
            </w:r>
          </w:p>
        </w:tc>
        <w:tc>
          <w:tcPr>
            <w:tcW w:w="60"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Commercial paper</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74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19,948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73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19,948</w:t>
            </w:r>
          </w:p>
        </w:tc>
        <w:tc>
          <w:tcPr>
            <w:tcW w:w="60"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Corporate debt securities</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74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30,165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7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(1,811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28,429</w:t>
            </w:r>
          </w:p>
        </w:tc>
        <w:tc>
          <w:tcPr>
            <w:tcW w:w="60"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Municipal tax-exempt securities</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(3,052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9,515</w:t>
            </w:r>
          </w:p>
        </w:tc>
        <w:tc>
          <w:tcPr>
            <w:tcW w:w="60"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Total available for sale</w:t>
            </w:r>
          </w:p>
        </w:tc>
        <w:tc>
          <w:tcPr>
            <w:tcW w:w="60" w:type="dxa"/>
            <w:tcBorders/>
            <w:shd w:fill="FFFF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426,145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(20,717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407,204</w:t>
            </w:r>
          </w:p>
        </w:tc>
        <w:tc>
          <w:tcPr>
            <w:tcW w:w="60"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7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Held to maturity</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Municipal tax-exempt securities</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4,103</w:t>
            </w:r>
          </w:p>
        </w:tc>
        <w:tc>
          <w:tcPr>
            <w:tcW w:w="60"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Total held to maturity</w:t>
            </w:r>
          </w:p>
        </w:tc>
        <w:tc>
          <w:tcPr>
            <w:tcW w:w="60" w:type="dxa"/>
            <w:tcBorders/>
            <w:shd w:fill="FFFF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4,103</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8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both"/>
        <w:rPr/>
      </w:pPr>
      <w:r>
        <w:rPr>
          <w:rFonts w:ascii="Times New Roman" w:hAnsi="Times New Roman"/>
          <w:caps w:val="false"/>
          <w:smallCaps w:val="false"/>
          <w:sz w:val="20"/>
        </w:rPr>
        <w:t xml:space="preserve">At </w:t>
      </w:r>
      <w:r>
        <w:rPr>
          <w:rStyle w:val="Emphasis"/>
          <w:rFonts w:ascii="Times New Roman" w:hAnsi="Times New Roman"/>
          <w:caps w:val="false"/>
          <w:smallCaps w:val="false"/>
          <w:sz w:val="20"/>
        </w:rPr>
        <w:t>June 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investment securities with a fair value of $44.8 million and $48.7 million were pledged to secure certificates of deposit from the State of California. One security with a fair value of $30,000 and $36,000 was pledged to secure a local agency deposit at </w:t>
      </w:r>
      <w:r>
        <w:rPr>
          <w:rStyle w:val="Emphasis"/>
          <w:rFonts w:ascii="Times New Roman" w:hAnsi="Times New Roman"/>
          <w:caps w:val="false"/>
          <w:smallCaps w:val="false"/>
          <w:sz w:val="20"/>
        </w:rPr>
        <w:t>June 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There were no sales of investment securities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March 31,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June 30, 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2025.</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160" w:right="0" w:firstLine="360"/>
        <w:jc w:val="left"/>
        <w:rPr/>
      </w:pPr>
      <w:r>
        <w:rPr>
          <w:rFonts w:ascii="Times New Roman" w:hAnsi="Times New Roman"/>
          <w:caps w:val="false"/>
          <w:smallCaps w:val="false"/>
          <w:sz w:val="20"/>
        </w:rPr>
        <w:t xml:space="preserve">Accrued interest receivable for investment securities at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totaled</w:t>
      </w:r>
      <w:r>
        <w:rPr>
          <w:rFonts w:ascii="Times New Roman" w:hAnsi="Times New Roman"/>
          <w:caps w:val="false"/>
          <w:smallCaps w:val="false"/>
          <w:sz w:val="20"/>
          <w:shd w:fill="FFFFFF" w:val="clear"/>
        </w:rPr>
        <w:t xml:space="preserve"> $1.5 million</w:t>
      </w:r>
      <w:r>
        <w:rPr>
          <w:rFonts w:ascii="Times New Roman" w:hAnsi="Times New Roman"/>
          <w:caps w:val="false"/>
          <w:smallCaps w:val="false"/>
          <w:sz w:val="20"/>
        </w:rPr>
        <w:t> and $1.6 million.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following tables show the amortized cost and fair value of the investment securities portfolio, by expected maturity, as of the dates indicated. However, expected maturities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differ from contractual maturities if borrowers have the right to call or prepay obligations with or without call or prepayment penalties. Accordingly, MBS and CMO are classified in accordance with their estimated average life.</w:t>
      </w:r>
    </w:p>
    <w:p>
      <w:pPr>
        <w:pStyle w:val="TextBody"/>
        <w:bidi w:val="0"/>
        <w:spacing w:before="0" w:after="0"/>
        <w:ind w:left="0" w:right="0" w:firstLine="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45"/>
        <w:gridCol w:w="60"/>
        <w:gridCol w:w="145"/>
        <w:gridCol w:w="685"/>
        <w:gridCol w:w="60"/>
        <w:gridCol w:w="60"/>
        <w:gridCol w:w="115"/>
        <w:gridCol w:w="542"/>
        <w:gridCol w:w="60"/>
        <w:gridCol w:w="60"/>
        <w:gridCol w:w="167"/>
        <w:gridCol w:w="670"/>
        <w:gridCol w:w="66"/>
        <w:gridCol w:w="66"/>
        <w:gridCol w:w="121"/>
        <w:gridCol w:w="670"/>
        <w:gridCol w:w="60"/>
        <w:gridCol w:w="60"/>
        <w:gridCol w:w="168"/>
        <w:gridCol w:w="673"/>
        <w:gridCol w:w="66"/>
        <w:gridCol w:w="66"/>
        <w:gridCol w:w="122"/>
        <w:gridCol w:w="673"/>
        <w:gridCol w:w="60"/>
        <w:gridCol w:w="60"/>
        <w:gridCol w:w="145"/>
        <w:gridCol w:w="685"/>
        <w:gridCol w:w="61"/>
        <w:gridCol w:w="61"/>
        <w:gridCol w:w="115"/>
        <w:gridCol w:w="542"/>
        <w:gridCol w:w="60"/>
        <w:gridCol w:w="60"/>
        <w:gridCol w:w="127"/>
        <w:gridCol w:w="704"/>
        <w:gridCol w:w="60"/>
        <w:gridCol w:w="60"/>
        <w:gridCol w:w="112"/>
        <w:gridCol w:w="621"/>
        <w:gridCol w:w="92"/>
      </w:tblGrid>
      <w:tr>
        <w:trPr/>
        <w:tc>
          <w:tcPr>
            <w:tcW w:w="1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One Year or Less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More than One Year to Five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More than Five Years to Ten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More than Ten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Total</w:t>
            </w:r>
          </w:p>
        </w:tc>
        <w:tc>
          <w:tcPr>
            <w:tcW w:w="92" w:type="dxa"/>
            <w:tcBorders/>
            <w:shd w:fill="FFFFFF" w:val="clear"/>
            <w:vAlign w:val="center"/>
          </w:tcPr>
          <w:p>
            <w:pPr>
              <w:pStyle w:val="TableContents"/>
              <w:bidi w:val="0"/>
              <w:spacing w:before="0" w:after="283"/>
              <w:jc w:val="left"/>
              <w:rPr/>
            </w:pPr>
            <w:r>
              <w:rPr>
                <w:rStyle w:val="Emphasis"/>
              </w:rPr>
              <w:t> </w:t>
            </w:r>
          </w:p>
        </w:tc>
      </w:tr>
      <w:tr>
        <w:trPr/>
        <w:tc>
          <w:tcPr>
            <w:tcW w:w="1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Amortized Cost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Fair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Amortized Cost</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79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Fair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Amortized Cost</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7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Fair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Amortized Cost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6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Fair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Amortized Cost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Fair Value</w:t>
            </w:r>
          </w:p>
        </w:tc>
        <w:tc>
          <w:tcPr>
            <w:tcW w:w="92" w:type="dxa"/>
            <w:tcBorders/>
            <w:shd w:fill="FFFFFF" w:val="clear"/>
            <w:vAlign w:val="center"/>
          </w:tcPr>
          <w:p>
            <w:pPr>
              <w:pStyle w:val="TableContents"/>
              <w:bidi w:val="0"/>
              <w:spacing w:before="0" w:after="283"/>
              <w:ind w:left="0" w:right="0" w:hanging="0"/>
              <w:jc w:val="left"/>
              <w:rPr/>
            </w:pPr>
            <w:r>
              <w:rPr>
                <w:rStyle w:val="Emphasis"/>
              </w:rPr>
              <w:t> </w:t>
            </w:r>
          </w:p>
        </w:tc>
      </w:tr>
      <w:tr>
        <w:trPr/>
        <w:tc>
          <w:tcPr>
            <w:tcW w:w="11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June 30, 2026</w:t>
            </w:r>
          </w:p>
        </w:tc>
        <w:tc>
          <w:tcPr>
            <w:tcW w:w="60" w:type="dxa"/>
            <w:tcBorders/>
            <w:shd w:fill="FFFFFF" w:val="clear"/>
            <w:vAlign w:val="center"/>
          </w:tcPr>
          <w:p>
            <w:pPr>
              <w:pStyle w:val="TableContents"/>
              <w:bidi w:val="0"/>
              <w:spacing w:before="0" w:after="0"/>
              <w:ind w:left="0" w:right="0" w:hanging="0"/>
              <w:jc w:val="left"/>
              <w:rPr/>
            </w:pPr>
            <w:r>
              <w:rPr/>
              <w:t> </w:t>
            </w:r>
          </w:p>
        </w:tc>
        <w:tc>
          <w:tcPr>
            <w:tcW w:w="9000" w:type="dxa"/>
            <w:gridSpan w:val="39"/>
            <w:tcBorders/>
            <w:shd w:fill="FFFFFF" w:val="clear"/>
            <w:vAlign w:val="center"/>
          </w:tcPr>
          <w:p>
            <w:pPr>
              <w:pStyle w:val="TableContents"/>
              <w:bidi w:val="0"/>
              <w:spacing w:before="0" w:after="0"/>
              <w:jc w:val="center"/>
              <w:rPr/>
            </w:pPr>
            <w:r>
              <w:rPr>
                <w:rStyle w:val="Emphasis"/>
                <w:rFonts w:ascii="Times New Roman;Times;serif" w:hAnsi="Times New Roman;Times;serif"/>
                <w:b/>
                <w:i/>
                <w:sz w:val="18"/>
              </w:rPr>
              <w:t>(dollars in thousands)</w:t>
            </w:r>
          </w:p>
        </w:tc>
      </w:tr>
      <w:tr>
        <w:trPr/>
        <w:tc>
          <w:tcPr>
            <w:tcW w:w="1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Government agency securities</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8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5"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4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7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20,496</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21"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7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20,282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8"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73" w:type="dxa"/>
            <w:tcBorders/>
            <w:shd w:fill="CCEEFF" w:val="clear"/>
            <w:vAlign w:val="center"/>
          </w:tcPr>
          <w:p>
            <w:pPr>
              <w:pStyle w:val="TableContents"/>
              <w:bidi w:val="0"/>
              <w:spacing w:before="0" w:after="283"/>
              <w:ind w:left="0" w:right="0" w:hanging="0"/>
              <w:jc w:val="right"/>
              <w:rPr/>
            </w:pPr>
            <w:r>
              <w:rPr/>
              <w:t>—</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22"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7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85" w:type="dxa"/>
            <w:tcBorders/>
            <w:shd w:fill="CCEEFF" w:val="clear"/>
            <w:vAlign w:val="center"/>
          </w:tcPr>
          <w:p>
            <w:pPr>
              <w:pStyle w:val="TableContents"/>
              <w:bidi w:val="0"/>
              <w:spacing w:before="0" w:after="283"/>
              <w:ind w:left="0" w:right="0" w:hanging="0"/>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15"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4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0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20,496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2"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2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20,282</w:t>
            </w:r>
          </w:p>
        </w:tc>
        <w:tc>
          <w:tcPr>
            <w:tcW w:w="92" w:type="dxa"/>
            <w:tcBorders/>
            <w:shd w:fill="CCEEFF" w:val="clear"/>
            <w:vAlign w:val="center"/>
          </w:tcPr>
          <w:p>
            <w:pPr>
              <w:pStyle w:val="TableContents"/>
              <w:bidi w:val="0"/>
              <w:spacing w:before="0" w:after="283"/>
              <w:jc w:val="left"/>
              <w:rPr/>
            </w:pPr>
            <w:r>
              <w:rPr>
                <w:rStyle w:val="Emphasis"/>
              </w:rPr>
              <w:t> </w:t>
            </w:r>
          </w:p>
        </w:tc>
      </w:tr>
      <w:tr>
        <w:trPr/>
        <w:tc>
          <w:tcPr>
            <w:tcW w:w="11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SBA agency securities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68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54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67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6,162</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ind w:left="0" w:right="0" w:hanging="0"/>
              <w:jc w:val="left"/>
              <w:rPr/>
            </w:pPr>
            <w:r>
              <w:rPr/>
              <w:t> </w:t>
            </w:r>
          </w:p>
        </w:tc>
        <w:tc>
          <w:tcPr>
            <w:tcW w:w="67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6,034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6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13,466</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6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13,285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685" w:type="dxa"/>
            <w:tcBorders/>
            <w:shd w:fill="FFFFFF" w:val="clear"/>
            <w:vAlign w:val="center"/>
          </w:tcPr>
          <w:p>
            <w:pPr>
              <w:pStyle w:val="TableContents"/>
              <w:bidi w:val="0"/>
              <w:spacing w:before="0" w:after="283"/>
              <w:ind w:left="0" w:right="0" w:hanging="0"/>
              <w:jc w:val="righ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54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70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19,628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62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19,319</w:t>
            </w:r>
          </w:p>
        </w:tc>
        <w:tc>
          <w:tcPr>
            <w:tcW w:w="92" w:type="dxa"/>
            <w:tcBorders/>
            <w:shd w:fill="FFFFFF" w:val="clear"/>
            <w:vAlign w:val="center"/>
          </w:tcPr>
          <w:p>
            <w:pPr>
              <w:pStyle w:val="TableContents"/>
              <w:bidi w:val="0"/>
              <w:spacing w:before="0" w:after="283"/>
              <w:jc w:val="left"/>
              <w:rPr/>
            </w:pPr>
            <w:r>
              <w:rPr>
                <w:rStyle w:val="Emphasis"/>
              </w:rPr>
              <w:t> </w:t>
            </w:r>
          </w:p>
        </w:tc>
      </w:tr>
      <w:tr>
        <w:trPr/>
        <w:tc>
          <w:tcPr>
            <w:tcW w:w="1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MBS: Residential</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68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54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67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26,842</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ind w:left="0" w:right="0" w:hanging="0"/>
              <w:jc w:val="left"/>
              <w:rPr/>
            </w:pPr>
            <w:r>
              <w:rPr/>
              <w:t> </w:t>
            </w:r>
          </w:p>
        </w:tc>
        <w:tc>
          <w:tcPr>
            <w:tcW w:w="67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26,470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67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66,780</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67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62,340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685" w:type="dxa"/>
            <w:tcBorders/>
            <w:shd w:fill="CCEEFF" w:val="clear"/>
            <w:vAlign w:val="center"/>
          </w:tcPr>
          <w:p>
            <w:pPr>
              <w:pStyle w:val="TableContents"/>
              <w:bidi w:val="0"/>
              <w:spacing w:before="0" w:after="283"/>
              <w:ind w:left="0" w:right="0" w:hanging="0"/>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54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70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93,622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62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88,810</w:t>
            </w:r>
          </w:p>
        </w:tc>
        <w:tc>
          <w:tcPr>
            <w:tcW w:w="92" w:type="dxa"/>
            <w:tcBorders/>
            <w:shd w:fill="CCEEFF" w:val="clear"/>
            <w:vAlign w:val="center"/>
          </w:tcPr>
          <w:p>
            <w:pPr>
              <w:pStyle w:val="TableContents"/>
              <w:bidi w:val="0"/>
              <w:spacing w:before="0" w:after="283"/>
              <w:jc w:val="left"/>
              <w:rPr/>
            </w:pPr>
            <w:r>
              <w:rPr>
                <w:rStyle w:val="Emphasis"/>
              </w:rPr>
              <w:t> </w:t>
            </w:r>
          </w:p>
        </w:tc>
      </w:tr>
      <w:tr>
        <w:trPr/>
        <w:tc>
          <w:tcPr>
            <w:tcW w:w="11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MBS: Commercial</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4,983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4,974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5,010</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4,991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pPr>
            <w:r>
              <w:rPr/>
              <w:t>—</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righ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9,993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9,965</w:t>
            </w:r>
          </w:p>
        </w:tc>
        <w:tc>
          <w:tcPr>
            <w:tcW w:w="92" w:type="dxa"/>
            <w:tcBorders/>
            <w:shd w:fill="FFFFFF" w:val="clear"/>
            <w:vAlign w:val="center"/>
          </w:tcPr>
          <w:p>
            <w:pPr>
              <w:pStyle w:val="TableContents"/>
              <w:bidi w:val="0"/>
              <w:spacing w:before="0" w:after="283"/>
              <w:jc w:val="left"/>
              <w:rPr/>
            </w:pPr>
            <w:r>
              <w:rPr>
                <w:rStyle w:val="Emphasis"/>
              </w:rPr>
              <w:t> </w:t>
            </w:r>
          </w:p>
        </w:tc>
      </w:tr>
      <w:tr>
        <w:trPr/>
        <w:tc>
          <w:tcPr>
            <w:tcW w:w="1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CMO: Residential</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68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54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67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70,587</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ind w:left="0" w:right="0" w:hanging="0"/>
              <w:jc w:val="left"/>
              <w:rPr/>
            </w:pPr>
            <w:r>
              <w:rPr/>
              <w:t> </w:t>
            </w:r>
          </w:p>
        </w:tc>
        <w:tc>
          <w:tcPr>
            <w:tcW w:w="67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69,335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67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43,717</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67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35,748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685" w:type="dxa"/>
            <w:tcBorders/>
            <w:shd w:fill="CCEEFF" w:val="clear"/>
            <w:vAlign w:val="center"/>
          </w:tcPr>
          <w:p>
            <w:pPr>
              <w:pStyle w:val="TableContents"/>
              <w:bidi w:val="0"/>
              <w:spacing w:before="0" w:after="283"/>
              <w:ind w:left="0" w:right="0" w:hanging="0"/>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54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70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115,089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62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105,867</w:t>
            </w:r>
          </w:p>
        </w:tc>
        <w:tc>
          <w:tcPr>
            <w:tcW w:w="92" w:type="dxa"/>
            <w:tcBorders/>
            <w:shd w:fill="CCEEFF" w:val="clear"/>
            <w:vAlign w:val="center"/>
          </w:tcPr>
          <w:p>
            <w:pPr>
              <w:pStyle w:val="TableContents"/>
              <w:bidi w:val="0"/>
              <w:spacing w:before="0" w:after="283"/>
              <w:jc w:val="left"/>
              <w:rPr/>
            </w:pPr>
            <w:r>
              <w:rPr>
                <w:rStyle w:val="Emphasis"/>
              </w:rPr>
              <w:t> </w:t>
            </w:r>
          </w:p>
        </w:tc>
      </w:tr>
      <w:tr>
        <w:trPr/>
        <w:tc>
          <w:tcPr>
            <w:tcW w:w="11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CMO: Commercial</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68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54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67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37,518</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ind w:left="0" w:right="0" w:hanging="0"/>
              <w:jc w:val="left"/>
              <w:rPr/>
            </w:pPr>
            <w:r>
              <w:rPr/>
              <w:t> </w:t>
            </w:r>
          </w:p>
        </w:tc>
        <w:tc>
          <w:tcPr>
            <w:tcW w:w="67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37,035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6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42,180</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6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40,666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685" w:type="dxa"/>
            <w:tcBorders/>
            <w:shd w:fill="FFFFFF" w:val="clear"/>
            <w:vAlign w:val="center"/>
          </w:tcPr>
          <w:p>
            <w:pPr>
              <w:pStyle w:val="TableContents"/>
              <w:bidi w:val="0"/>
              <w:spacing w:before="0" w:after="283"/>
              <w:ind w:left="0" w:right="0" w:hanging="0"/>
              <w:jc w:val="righ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54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70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82,065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62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80,035</w:t>
            </w:r>
          </w:p>
        </w:tc>
        <w:tc>
          <w:tcPr>
            <w:tcW w:w="92" w:type="dxa"/>
            <w:tcBorders/>
            <w:shd w:fill="FFFFFF" w:val="clear"/>
            <w:vAlign w:val="center"/>
          </w:tcPr>
          <w:p>
            <w:pPr>
              <w:pStyle w:val="TableContents"/>
              <w:bidi w:val="0"/>
              <w:spacing w:before="0" w:after="283"/>
              <w:jc w:val="left"/>
              <w:rPr/>
            </w:pPr>
            <w:r>
              <w:rPr>
                <w:rStyle w:val="Emphasis"/>
              </w:rPr>
              <w:t> </w:t>
            </w:r>
          </w:p>
        </w:tc>
      </w:tr>
      <w:tr>
        <w:trPr/>
        <w:tc>
          <w:tcPr>
            <w:tcW w:w="1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Commercial paper</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68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49,672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54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49,663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670" w:type="dxa"/>
            <w:tcBorders/>
            <w:shd w:fill="CCEEFF" w:val="clear"/>
            <w:vAlign w:val="center"/>
          </w:tcPr>
          <w:p>
            <w:pPr>
              <w:pStyle w:val="TableContents"/>
              <w:bidi w:val="0"/>
              <w:spacing w:before="0" w:after="283"/>
              <w:ind w:left="0" w:right="0" w:hanging="0"/>
              <w:jc w:val="right"/>
              <w:rPr/>
            </w:pPr>
            <w:r>
              <w:rPr/>
              <w:t>—</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ind w:left="0" w:right="0" w:hanging="0"/>
              <w:jc w:val="left"/>
              <w:rPr/>
            </w:pPr>
            <w:r>
              <w:rPr/>
              <w:t> </w:t>
            </w:r>
          </w:p>
        </w:tc>
        <w:tc>
          <w:tcPr>
            <w:tcW w:w="67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673" w:type="dxa"/>
            <w:tcBorders/>
            <w:shd w:fill="CCEEFF" w:val="clear"/>
            <w:vAlign w:val="center"/>
          </w:tcPr>
          <w:p>
            <w:pPr>
              <w:pStyle w:val="TableContents"/>
              <w:bidi w:val="0"/>
              <w:spacing w:before="0" w:after="283"/>
              <w:ind w:left="0" w:right="0" w:hanging="0"/>
              <w:jc w:val="right"/>
              <w:rPr/>
            </w:pPr>
            <w:r>
              <w:rPr/>
              <w:t>—</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67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685" w:type="dxa"/>
            <w:tcBorders/>
            <w:shd w:fill="CCEEFF" w:val="clear"/>
            <w:vAlign w:val="center"/>
          </w:tcPr>
          <w:p>
            <w:pPr>
              <w:pStyle w:val="TableContents"/>
              <w:bidi w:val="0"/>
              <w:spacing w:before="0" w:after="283"/>
              <w:ind w:left="0" w:right="0" w:hanging="0"/>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54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70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49,672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62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49,663</w:t>
            </w:r>
          </w:p>
        </w:tc>
        <w:tc>
          <w:tcPr>
            <w:tcW w:w="92" w:type="dxa"/>
            <w:tcBorders/>
            <w:shd w:fill="CCEEFF" w:val="clear"/>
            <w:vAlign w:val="center"/>
          </w:tcPr>
          <w:p>
            <w:pPr>
              <w:pStyle w:val="TableContents"/>
              <w:bidi w:val="0"/>
              <w:spacing w:before="0" w:after="283"/>
              <w:jc w:val="left"/>
              <w:rPr/>
            </w:pPr>
            <w:r>
              <w:rPr>
                <w:rStyle w:val="Emphasis"/>
              </w:rPr>
              <w:t> </w:t>
            </w:r>
          </w:p>
        </w:tc>
      </w:tr>
      <w:tr>
        <w:trPr/>
        <w:tc>
          <w:tcPr>
            <w:tcW w:w="11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Corporate debt securities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68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54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67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12,422</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ind w:left="0" w:right="0" w:hanging="0"/>
              <w:jc w:val="left"/>
              <w:rPr/>
            </w:pPr>
            <w:r>
              <w:rPr/>
              <w:t> </w:t>
            </w:r>
          </w:p>
        </w:tc>
        <w:tc>
          <w:tcPr>
            <w:tcW w:w="67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12,132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6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7,900</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6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7,442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68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2,578</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54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70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24,907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62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23,462</w:t>
            </w:r>
          </w:p>
        </w:tc>
        <w:tc>
          <w:tcPr>
            <w:tcW w:w="92" w:type="dxa"/>
            <w:tcBorders/>
            <w:shd w:fill="FFFFFF" w:val="clear"/>
            <w:vAlign w:val="center"/>
          </w:tcPr>
          <w:p>
            <w:pPr>
              <w:pStyle w:val="TableContents"/>
              <w:bidi w:val="0"/>
              <w:spacing w:before="0" w:after="283"/>
              <w:jc w:val="left"/>
              <w:rPr/>
            </w:pPr>
            <w:r>
              <w:rPr>
                <w:rStyle w:val="Emphasis"/>
              </w:rPr>
              <w:t> </w:t>
            </w:r>
          </w:p>
        </w:tc>
      </w:tr>
      <w:tr>
        <w:trPr/>
        <w:tc>
          <w:tcPr>
            <w:tcW w:w="1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Municipal tax-exempt securities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1,079</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11,471</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8,848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12,550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9,757</w:t>
            </w:r>
          </w:p>
        </w:tc>
        <w:tc>
          <w:tcPr>
            <w:tcW w:w="92" w:type="dxa"/>
            <w:tcBorders/>
            <w:shd w:fill="CCEEFF" w:val="clear"/>
            <w:vAlign w:val="center"/>
          </w:tcPr>
          <w:p>
            <w:pPr>
              <w:pStyle w:val="TableContents"/>
              <w:bidi w:val="0"/>
              <w:spacing w:before="0" w:after="283"/>
              <w:jc w:val="left"/>
              <w:rPr/>
            </w:pPr>
            <w:r>
              <w:rPr>
                <w:rStyle w:val="Emphasis"/>
              </w:rPr>
              <w:t> </w:t>
            </w:r>
          </w:p>
        </w:tc>
      </w:tr>
      <w:tr>
        <w:trPr/>
        <w:tc>
          <w:tcPr>
            <w:tcW w:w="114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 AFS</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59,814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59,756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179,037</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12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176,279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7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175,122</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12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7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160,390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14,049</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1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10,735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428,022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2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407,160</w:t>
            </w:r>
          </w:p>
        </w:tc>
        <w:tc>
          <w:tcPr>
            <w:tcW w:w="92" w:type="dxa"/>
            <w:tcBorders/>
            <w:shd w:fill="FFFFFF" w:val="clear"/>
            <w:vAlign w:val="center"/>
          </w:tcPr>
          <w:p>
            <w:pPr>
              <w:pStyle w:val="TableContents"/>
              <w:bidi w:val="0"/>
              <w:spacing w:before="0" w:after="283"/>
              <w:jc w:val="left"/>
              <w:rPr/>
            </w:pPr>
            <w:r>
              <w:rPr>
                <w:rStyle w:val="Emphasis"/>
              </w:rPr>
              <w:t> </w:t>
            </w:r>
          </w:p>
        </w:tc>
      </w:tr>
      <w:tr>
        <w:trPr/>
        <w:tc>
          <w:tcPr>
            <w:tcW w:w="11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6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54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685"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54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621"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r>
      <w:tr>
        <w:trPr/>
        <w:tc>
          <w:tcPr>
            <w:tcW w:w="11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Municipal tax-exempt securities</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1,741</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2,440</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4,181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4,078</w:t>
            </w:r>
          </w:p>
        </w:tc>
        <w:tc>
          <w:tcPr>
            <w:tcW w:w="92" w:type="dxa"/>
            <w:tcBorders/>
            <w:shd w:fill="FFFFFF" w:val="clear"/>
            <w:vAlign w:val="center"/>
          </w:tcPr>
          <w:p>
            <w:pPr>
              <w:pStyle w:val="TableContents"/>
              <w:bidi w:val="0"/>
              <w:spacing w:before="0" w:after="283"/>
              <w:jc w:val="left"/>
              <w:rPr/>
            </w:pPr>
            <w:r>
              <w:rPr>
                <w:rStyle w:val="Emphasis"/>
              </w:rPr>
              <w:t> </w:t>
            </w:r>
          </w:p>
        </w:tc>
      </w:tr>
      <w:tr>
        <w:trPr/>
        <w:tc>
          <w:tcPr>
            <w:tcW w:w="114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 HTM</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4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1,741</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2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2,440</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2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1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4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4,181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4,078</w:t>
            </w:r>
          </w:p>
        </w:tc>
        <w:tc>
          <w:tcPr>
            <w:tcW w:w="92" w:type="dxa"/>
            <w:tcBorders/>
            <w:shd w:fill="CCEEFF" w:val="clear"/>
            <w:vAlign w:val="center"/>
          </w:tcPr>
          <w:p>
            <w:pPr>
              <w:pStyle w:val="TableContents"/>
              <w:bidi w:val="0"/>
              <w:spacing w:before="0" w:after="283"/>
              <w:jc w:val="left"/>
              <w:rPr/>
            </w:pPr>
            <w:r>
              <w:rPr>
                <w:rStyle w:val="Emphasis"/>
              </w:rPr>
              <w:t> </w:t>
            </w:r>
          </w:p>
        </w:tc>
      </w:tr>
      <w:tr>
        <w:trPr/>
        <w:tc>
          <w:tcPr>
            <w:tcW w:w="1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r>
      <w:tr>
        <w:trPr/>
        <w:tc>
          <w:tcPr>
            <w:tcW w:w="11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December 31, 2025</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6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54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685"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54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621"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r>
      <w:tr>
        <w:trPr/>
        <w:tc>
          <w:tcPr>
            <w:tcW w:w="11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Government agency securities</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8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4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7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22,785</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121"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7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22,640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73" w:type="dxa"/>
            <w:tcBorders/>
            <w:shd w:fill="FFFFFF" w:val="clear"/>
            <w:vAlign w:val="center"/>
          </w:tcPr>
          <w:p>
            <w:pPr>
              <w:pStyle w:val="TableContents"/>
              <w:bidi w:val="0"/>
              <w:spacing w:before="0" w:after="283"/>
              <w:ind w:left="0" w:right="0" w:hanging="0"/>
              <w:jc w:val="right"/>
              <w:rPr/>
            </w:pPr>
            <w:r>
              <w:rPr/>
              <w:t>—</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122"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7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85" w:type="dxa"/>
            <w:tcBorders/>
            <w:shd w:fill="FFFFFF" w:val="clear"/>
            <w:vAlign w:val="center"/>
          </w:tcPr>
          <w:p>
            <w:pPr>
              <w:pStyle w:val="TableContents"/>
              <w:bidi w:val="0"/>
              <w:spacing w:before="0" w:after="283"/>
              <w:ind w:left="0" w:right="0" w:hanging="0"/>
              <w:jc w:val="righ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15"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4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0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22,850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2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22,705</w:t>
            </w:r>
          </w:p>
        </w:tc>
        <w:tc>
          <w:tcPr>
            <w:tcW w:w="92" w:type="dxa"/>
            <w:tcBorders/>
            <w:shd w:fill="FFFFFF" w:val="clear"/>
            <w:vAlign w:val="center"/>
          </w:tcPr>
          <w:p>
            <w:pPr>
              <w:pStyle w:val="TableContents"/>
              <w:bidi w:val="0"/>
              <w:spacing w:before="0" w:after="283"/>
              <w:jc w:val="left"/>
              <w:rPr/>
            </w:pPr>
            <w:r>
              <w:rPr>
                <w:rStyle w:val="Emphasis"/>
              </w:rPr>
              <w:t> </w:t>
            </w:r>
          </w:p>
        </w:tc>
      </w:tr>
      <w:tr>
        <w:trPr/>
        <w:tc>
          <w:tcPr>
            <w:tcW w:w="1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SBA agency securities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68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54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67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6,496</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ind w:left="0" w:right="0" w:hanging="0"/>
              <w:jc w:val="left"/>
              <w:rPr/>
            </w:pPr>
            <w:r>
              <w:rPr/>
              <w:t> </w:t>
            </w:r>
          </w:p>
        </w:tc>
        <w:tc>
          <w:tcPr>
            <w:tcW w:w="67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6,456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67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14,830</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67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14,724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685" w:type="dxa"/>
            <w:tcBorders/>
            <w:shd w:fill="CCEEFF" w:val="clear"/>
            <w:vAlign w:val="center"/>
          </w:tcPr>
          <w:p>
            <w:pPr>
              <w:pStyle w:val="TableContents"/>
              <w:bidi w:val="0"/>
              <w:spacing w:before="0" w:after="283"/>
              <w:ind w:left="0" w:right="0" w:hanging="0"/>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54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70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21,326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62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21,180</w:t>
            </w:r>
          </w:p>
        </w:tc>
        <w:tc>
          <w:tcPr>
            <w:tcW w:w="92" w:type="dxa"/>
            <w:tcBorders/>
            <w:shd w:fill="CCEEFF" w:val="clear"/>
            <w:vAlign w:val="center"/>
          </w:tcPr>
          <w:p>
            <w:pPr>
              <w:pStyle w:val="TableContents"/>
              <w:bidi w:val="0"/>
              <w:spacing w:before="0" w:after="283"/>
              <w:jc w:val="left"/>
              <w:rPr/>
            </w:pPr>
            <w:r>
              <w:rPr>
                <w:rStyle w:val="Emphasis"/>
              </w:rPr>
              <w:t> </w:t>
            </w:r>
          </w:p>
        </w:tc>
      </w:tr>
      <w:tr>
        <w:trPr/>
        <w:tc>
          <w:tcPr>
            <w:tcW w:w="11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MBS: Residential</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68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54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67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26,636</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ind w:left="0" w:right="0" w:hanging="0"/>
              <w:jc w:val="left"/>
              <w:rPr/>
            </w:pPr>
            <w:r>
              <w:rPr/>
              <w:t> </w:t>
            </w:r>
          </w:p>
        </w:tc>
        <w:tc>
          <w:tcPr>
            <w:tcW w:w="67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26,537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6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64,413</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6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60,641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685" w:type="dxa"/>
            <w:tcBorders/>
            <w:shd w:fill="FFFFFF" w:val="clear"/>
            <w:vAlign w:val="center"/>
          </w:tcPr>
          <w:p>
            <w:pPr>
              <w:pStyle w:val="TableContents"/>
              <w:bidi w:val="0"/>
              <w:spacing w:before="0" w:after="283"/>
              <w:ind w:left="0" w:right="0" w:hanging="0"/>
              <w:jc w:val="righ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54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70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91,049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62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87,178</w:t>
            </w:r>
          </w:p>
        </w:tc>
        <w:tc>
          <w:tcPr>
            <w:tcW w:w="92" w:type="dxa"/>
            <w:tcBorders/>
            <w:shd w:fill="FFFFFF" w:val="clear"/>
            <w:vAlign w:val="center"/>
          </w:tcPr>
          <w:p>
            <w:pPr>
              <w:pStyle w:val="TableContents"/>
              <w:bidi w:val="0"/>
              <w:spacing w:before="0" w:after="283"/>
              <w:jc w:val="left"/>
              <w:rPr/>
            </w:pPr>
            <w:r>
              <w:rPr>
                <w:rStyle w:val="Emphasis"/>
              </w:rPr>
              <w:t> </w:t>
            </w:r>
          </w:p>
        </w:tc>
      </w:tr>
      <w:tr>
        <w:trPr/>
        <w:tc>
          <w:tcPr>
            <w:tcW w:w="1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MBS: Commercial</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68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54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67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5,010</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21" w:type="dxa"/>
            <w:tcBorders/>
            <w:shd w:fill="CCEEFF" w:val="clear"/>
            <w:vAlign w:val="center"/>
          </w:tcPr>
          <w:p>
            <w:pPr>
              <w:pStyle w:val="TableContents"/>
              <w:bidi w:val="0"/>
              <w:spacing w:before="0" w:after="283"/>
              <w:ind w:left="0" w:right="0" w:hanging="0"/>
              <w:jc w:val="left"/>
              <w:rPr/>
            </w:pPr>
            <w:r>
              <w:rPr/>
              <w:t> </w:t>
            </w:r>
          </w:p>
        </w:tc>
        <w:tc>
          <w:tcPr>
            <w:tcW w:w="67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673" w:type="dxa"/>
            <w:tcBorders/>
            <w:shd w:fill="CCEEFF" w:val="clear"/>
            <w:vAlign w:val="center"/>
          </w:tcPr>
          <w:p>
            <w:pPr>
              <w:pStyle w:val="TableContents"/>
              <w:bidi w:val="0"/>
              <w:spacing w:before="0" w:after="283"/>
              <w:ind w:left="0" w:right="0" w:hanging="0"/>
              <w:jc w:val="right"/>
              <w:rPr/>
            </w:pPr>
            <w:r>
              <w:rPr/>
              <w:t>—</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67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685" w:type="dxa"/>
            <w:tcBorders/>
            <w:shd w:fill="CCEEFF" w:val="clear"/>
            <w:vAlign w:val="center"/>
          </w:tcPr>
          <w:p>
            <w:pPr>
              <w:pStyle w:val="TableContents"/>
              <w:bidi w:val="0"/>
              <w:spacing w:before="0" w:after="283"/>
              <w:ind w:left="0" w:right="0" w:hanging="0"/>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54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70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62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4,977</w:t>
            </w:r>
          </w:p>
        </w:tc>
        <w:tc>
          <w:tcPr>
            <w:tcW w:w="92" w:type="dxa"/>
            <w:tcBorders/>
            <w:shd w:fill="CCEEFF" w:val="clear"/>
            <w:vAlign w:val="center"/>
          </w:tcPr>
          <w:p>
            <w:pPr>
              <w:pStyle w:val="TableContents"/>
              <w:bidi w:val="0"/>
              <w:spacing w:before="0" w:after="283"/>
              <w:jc w:val="left"/>
              <w:rPr/>
            </w:pPr>
            <w:r>
              <w:rPr>
                <w:rStyle w:val="Emphasis"/>
              </w:rPr>
              <w:t> </w:t>
            </w:r>
          </w:p>
        </w:tc>
      </w:tr>
      <w:tr>
        <w:trPr/>
        <w:tc>
          <w:tcPr>
            <w:tcW w:w="11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CMO: Residential</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68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6,198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54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6,248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67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68,422</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ind w:left="0" w:right="0" w:hanging="0"/>
              <w:jc w:val="left"/>
              <w:rPr/>
            </w:pPr>
            <w:r>
              <w:rPr/>
              <w:t> </w:t>
            </w:r>
          </w:p>
        </w:tc>
        <w:tc>
          <w:tcPr>
            <w:tcW w:w="67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68,100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6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45,855</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6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38,147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685" w:type="dxa"/>
            <w:tcBorders/>
            <w:shd w:fill="FFFFFF" w:val="clear"/>
            <w:vAlign w:val="center"/>
          </w:tcPr>
          <w:p>
            <w:pPr>
              <w:pStyle w:val="TableContents"/>
              <w:bidi w:val="0"/>
              <w:spacing w:before="0" w:after="283"/>
              <w:ind w:left="0" w:right="0" w:hanging="0"/>
              <w:jc w:val="righ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54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70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120,475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62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112,495</w:t>
            </w:r>
          </w:p>
        </w:tc>
        <w:tc>
          <w:tcPr>
            <w:tcW w:w="92" w:type="dxa"/>
            <w:tcBorders/>
            <w:shd w:fill="FFFFFF" w:val="clear"/>
            <w:vAlign w:val="center"/>
          </w:tcPr>
          <w:p>
            <w:pPr>
              <w:pStyle w:val="TableContents"/>
              <w:bidi w:val="0"/>
              <w:spacing w:before="0" w:after="283"/>
              <w:jc w:val="left"/>
              <w:rPr/>
            </w:pPr>
            <w:r>
              <w:rPr>
                <w:rStyle w:val="Emphasis"/>
              </w:rPr>
              <w:t> </w:t>
            </w:r>
          </w:p>
        </w:tc>
      </w:tr>
      <w:tr>
        <w:trPr/>
        <w:tc>
          <w:tcPr>
            <w:tcW w:w="1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CMO: Commercial</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68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6,629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54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6,591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67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51,805</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ind w:left="0" w:right="0" w:hanging="0"/>
              <w:jc w:val="left"/>
              <w:rPr/>
            </w:pPr>
            <w:r>
              <w:rPr/>
              <w:t> </w:t>
            </w:r>
          </w:p>
        </w:tc>
        <w:tc>
          <w:tcPr>
            <w:tcW w:w="67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51,365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67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44,321</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67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42,821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685" w:type="dxa"/>
            <w:tcBorders/>
            <w:shd w:fill="CCEEFF" w:val="clear"/>
            <w:vAlign w:val="center"/>
          </w:tcPr>
          <w:p>
            <w:pPr>
              <w:pStyle w:val="TableContents"/>
              <w:bidi w:val="0"/>
              <w:spacing w:before="0" w:after="283"/>
              <w:ind w:left="0" w:right="0" w:hanging="0"/>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54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70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102,755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62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100,777</w:t>
            </w:r>
          </w:p>
        </w:tc>
        <w:tc>
          <w:tcPr>
            <w:tcW w:w="92" w:type="dxa"/>
            <w:tcBorders/>
            <w:shd w:fill="CCEEFF" w:val="clear"/>
            <w:vAlign w:val="center"/>
          </w:tcPr>
          <w:p>
            <w:pPr>
              <w:pStyle w:val="TableContents"/>
              <w:bidi w:val="0"/>
              <w:spacing w:before="0" w:after="283"/>
              <w:jc w:val="left"/>
              <w:rPr/>
            </w:pPr>
            <w:r>
              <w:rPr>
                <w:rStyle w:val="Emphasis"/>
              </w:rPr>
              <w:t> </w:t>
            </w:r>
          </w:p>
        </w:tc>
      </w:tr>
      <w:tr>
        <w:trPr/>
        <w:tc>
          <w:tcPr>
            <w:tcW w:w="11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Commercial paper</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68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19,948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54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19,948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670" w:type="dxa"/>
            <w:tcBorders/>
            <w:shd w:fill="FFFFFF" w:val="clear"/>
            <w:vAlign w:val="center"/>
          </w:tcPr>
          <w:p>
            <w:pPr>
              <w:pStyle w:val="TableContents"/>
              <w:bidi w:val="0"/>
              <w:spacing w:before="0" w:after="283"/>
              <w:ind w:left="0" w:right="0" w:hanging="0"/>
              <w:jc w:val="right"/>
              <w:rPr/>
            </w:pPr>
            <w:r>
              <w:rPr/>
              <w:t>—</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ind w:left="0" w:right="0" w:hanging="0"/>
              <w:jc w:val="left"/>
              <w:rPr/>
            </w:pPr>
            <w:r>
              <w:rPr/>
              <w:t> </w:t>
            </w:r>
          </w:p>
        </w:tc>
        <w:tc>
          <w:tcPr>
            <w:tcW w:w="67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673" w:type="dxa"/>
            <w:tcBorders/>
            <w:shd w:fill="FFFFFF" w:val="clear"/>
            <w:vAlign w:val="center"/>
          </w:tcPr>
          <w:p>
            <w:pPr>
              <w:pStyle w:val="TableContents"/>
              <w:bidi w:val="0"/>
              <w:spacing w:before="0" w:after="283"/>
              <w:ind w:left="0" w:right="0" w:hanging="0"/>
              <w:jc w:val="right"/>
              <w:rPr/>
            </w:pPr>
            <w:r>
              <w:rPr/>
              <w:t>—</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67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685" w:type="dxa"/>
            <w:tcBorders/>
            <w:shd w:fill="FFFFFF" w:val="clear"/>
            <w:vAlign w:val="center"/>
          </w:tcPr>
          <w:p>
            <w:pPr>
              <w:pStyle w:val="TableContents"/>
              <w:bidi w:val="0"/>
              <w:spacing w:before="0" w:after="283"/>
              <w:ind w:left="0" w:right="0" w:hanging="0"/>
              <w:jc w:val="righ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54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70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19,948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62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19,948</w:t>
            </w:r>
          </w:p>
        </w:tc>
        <w:tc>
          <w:tcPr>
            <w:tcW w:w="92" w:type="dxa"/>
            <w:tcBorders/>
            <w:shd w:fill="FFFFFF" w:val="clear"/>
            <w:vAlign w:val="center"/>
          </w:tcPr>
          <w:p>
            <w:pPr>
              <w:pStyle w:val="TableContents"/>
              <w:bidi w:val="0"/>
              <w:spacing w:before="0" w:after="283"/>
              <w:jc w:val="left"/>
              <w:rPr/>
            </w:pPr>
            <w:r>
              <w:rPr>
                <w:rStyle w:val="Emphasis"/>
              </w:rPr>
              <w:t> </w:t>
            </w:r>
          </w:p>
        </w:tc>
      </w:tr>
      <w:tr>
        <w:trPr/>
        <w:tc>
          <w:tcPr>
            <w:tcW w:w="1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Corporate debt securities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68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54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67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8,903</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ind w:left="0" w:right="0" w:hanging="0"/>
              <w:jc w:val="left"/>
              <w:rPr/>
            </w:pPr>
            <w:r>
              <w:rPr/>
              <w:t> </w:t>
            </w:r>
          </w:p>
        </w:tc>
        <w:tc>
          <w:tcPr>
            <w:tcW w:w="67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8,733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67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14,650</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67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13,756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68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2,590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54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70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30,165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62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28,429</w:t>
            </w:r>
          </w:p>
        </w:tc>
        <w:tc>
          <w:tcPr>
            <w:tcW w:w="92" w:type="dxa"/>
            <w:tcBorders/>
            <w:shd w:fill="CCEEFF" w:val="clear"/>
            <w:vAlign w:val="center"/>
          </w:tcPr>
          <w:p>
            <w:pPr>
              <w:pStyle w:val="TableContents"/>
              <w:bidi w:val="0"/>
              <w:spacing w:before="0" w:after="283"/>
              <w:jc w:val="left"/>
              <w:rPr/>
            </w:pPr>
            <w:r>
              <w:rPr>
                <w:rStyle w:val="Emphasis"/>
              </w:rPr>
              <w:t> </w:t>
            </w:r>
          </w:p>
        </w:tc>
      </w:tr>
      <w:tr>
        <w:trPr/>
        <w:tc>
          <w:tcPr>
            <w:tcW w:w="11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Municipal tax-exempt securities</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1,081</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11,486</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8,594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12,567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9,515</w:t>
            </w:r>
          </w:p>
        </w:tc>
        <w:tc>
          <w:tcPr>
            <w:tcW w:w="92" w:type="dxa"/>
            <w:tcBorders/>
            <w:shd w:fill="FFFFFF" w:val="clear"/>
            <w:vAlign w:val="center"/>
          </w:tcPr>
          <w:p>
            <w:pPr>
              <w:pStyle w:val="TableContents"/>
              <w:bidi w:val="0"/>
              <w:spacing w:before="0" w:after="283"/>
              <w:jc w:val="left"/>
              <w:rPr/>
            </w:pPr>
            <w:r>
              <w:rPr>
                <w:rStyle w:val="Emphasis"/>
              </w:rPr>
              <w:t> </w:t>
            </w:r>
          </w:p>
        </w:tc>
      </w:tr>
      <w:tr>
        <w:trPr/>
        <w:tc>
          <w:tcPr>
            <w:tcW w:w="114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 AFS</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36,862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4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36,858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190,057</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2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188,808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185,150</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2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171,010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14,076</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1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4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10,528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426,145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407,204</w:t>
            </w:r>
          </w:p>
        </w:tc>
        <w:tc>
          <w:tcPr>
            <w:tcW w:w="92" w:type="dxa"/>
            <w:tcBorders/>
            <w:shd w:fill="CCEEFF" w:val="clear"/>
            <w:vAlign w:val="center"/>
          </w:tcPr>
          <w:p>
            <w:pPr>
              <w:pStyle w:val="TableContents"/>
              <w:bidi w:val="0"/>
              <w:spacing w:before="0" w:after="283"/>
              <w:jc w:val="left"/>
              <w:rPr/>
            </w:pPr>
            <w:r>
              <w:rPr>
                <w:rStyle w:val="Emphasis"/>
              </w:rPr>
              <w:t> </w:t>
            </w:r>
          </w:p>
        </w:tc>
      </w:tr>
      <w:tr>
        <w:trPr/>
        <w:tc>
          <w:tcPr>
            <w:tcW w:w="1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Municipal tax-exempt securities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860</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2,817</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507</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4,184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4,103</w:t>
            </w:r>
          </w:p>
        </w:tc>
        <w:tc>
          <w:tcPr>
            <w:tcW w:w="92" w:type="dxa"/>
            <w:tcBorders/>
            <w:shd w:fill="CCEEFF" w:val="clear"/>
            <w:vAlign w:val="center"/>
          </w:tcPr>
          <w:p>
            <w:pPr>
              <w:pStyle w:val="TableContents"/>
              <w:bidi w:val="0"/>
              <w:spacing w:before="0" w:after="283"/>
              <w:jc w:val="left"/>
              <w:rPr/>
            </w:pPr>
            <w:r>
              <w:rPr>
                <w:rStyle w:val="Emphasis"/>
              </w:rPr>
              <w:t> </w:t>
            </w:r>
          </w:p>
        </w:tc>
      </w:tr>
      <w:tr>
        <w:trPr/>
        <w:tc>
          <w:tcPr>
            <w:tcW w:w="114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 HTM</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860</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12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7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2,817</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12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7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507</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1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4,184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2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4,103</w:t>
            </w:r>
          </w:p>
        </w:tc>
        <w:tc>
          <w:tcPr>
            <w:tcW w:w="92" w:type="dxa"/>
            <w:tcBorders/>
            <w:shd w:fill="FFFFFF" w:val="clear"/>
            <w:vAlign w:val="center"/>
          </w:tcPr>
          <w:p>
            <w:pPr>
              <w:pStyle w:val="TableContents"/>
              <w:bidi w:val="0"/>
              <w:spacing w:before="0" w:after="283"/>
              <w:jc w:val="left"/>
              <w:rPr/>
            </w:pPr>
            <w:r>
              <w:rPr>
                <w:rStyle w:val="Emphasis"/>
              </w:rPr>
              <w:t> </w:t>
            </w:r>
          </w:p>
        </w:tc>
      </w:tr>
    </w:tbl>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following tables show the fair value and gross unrealized losses of our investment securities, aggregated by investment category and the length of time individual securities have been in a continuous unrealized loss position, as of the dates indicated:</w:t>
      </w:r>
    </w:p>
    <w:p>
      <w:pPr>
        <w:pStyle w:val="TextBody"/>
        <w:bidi w:val="0"/>
        <w:spacing w:before="0" w:after="0"/>
        <w:ind w:left="0" w:right="0" w:firstLine="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95"/>
        <w:gridCol w:w="60"/>
        <w:gridCol w:w="114"/>
        <w:gridCol w:w="631"/>
        <w:gridCol w:w="60"/>
        <w:gridCol w:w="60"/>
        <w:gridCol w:w="180"/>
        <w:gridCol w:w="797"/>
        <w:gridCol w:w="80"/>
        <w:gridCol w:w="60"/>
        <w:gridCol w:w="160"/>
        <w:gridCol w:w="699"/>
        <w:gridCol w:w="60"/>
        <w:gridCol w:w="60"/>
        <w:gridCol w:w="114"/>
        <w:gridCol w:w="631"/>
        <w:gridCol w:w="60"/>
        <w:gridCol w:w="60"/>
        <w:gridCol w:w="156"/>
        <w:gridCol w:w="821"/>
        <w:gridCol w:w="80"/>
        <w:gridCol w:w="60"/>
        <w:gridCol w:w="160"/>
        <w:gridCol w:w="699"/>
        <w:gridCol w:w="60"/>
        <w:gridCol w:w="60"/>
        <w:gridCol w:w="114"/>
        <w:gridCol w:w="631"/>
        <w:gridCol w:w="60"/>
        <w:gridCol w:w="60"/>
        <w:gridCol w:w="156"/>
        <w:gridCol w:w="821"/>
        <w:gridCol w:w="80"/>
        <w:gridCol w:w="60"/>
        <w:gridCol w:w="147"/>
        <w:gridCol w:w="713"/>
        <w:gridCol w:w="86"/>
      </w:tblGrid>
      <w:tr>
        <w:trPr/>
        <w:tc>
          <w:tcPr>
            <w:tcW w:w="1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41"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Less than Twelve Months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41"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Twelve Months or More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42"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Total</w:t>
            </w:r>
          </w:p>
        </w:tc>
        <w:tc>
          <w:tcPr>
            <w:tcW w:w="86" w:type="dxa"/>
            <w:tcBorders/>
            <w:shd w:fill="FFFFFF" w:val="clear"/>
            <w:vAlign w:val="center"/>
          </w:tcPr>
          <w:p>
            <w:pPr>
              <w:pStyle w:val="TableContents"/>
              <w:bidi w:val="0"/>
              <w:spacing w:before="0" w:after="283"/>
              <w:jc w:val="left"/>
              <w:rPr/>
            </w:pPr>
            <w:r>
              <w:rPr/>
              <w:t> </w:t>
            </w:r>
          </w:p>
        </w:tc>
      </w:tr>
      <w:tr>
        <w:trPr/>
        <w:tc>
          <w:tcPr>
            <w:tcW w:w="1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Fair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Unrealized Losses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 of Issuances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Fair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Unrealized Losses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 of Issuances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Fair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Unrealized Losses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 of Issuances</w:t>
            </w:r>
          </w:p>
        </w:tc>
        <w:tc>
          <w:tcPr>
            <w:tcW w:w="86" w:type="dxa"/>
            <w:tcBorders/>
            <w:shd w:fill="FFFFFF" w:val="clear"/>
            <w:vAlign w:val="center"/>
          </w:tcPr>
          <w:p>
            <w:pPr>
              <w:pStyle w:val="TableContents"/>
              <w:bidi w:val="0"/>
              <w:spacing w:before="0" w:after="283"/>
              <w:jc w:val="left"/>
              <w:rPr/>
            </w:pPr>
            <w:r>
              <w:rPr/>
              <w:t> </w:t>
            </w:r>
          </w:p>
        </w:tc>
      </w:tr>
      <w:tr>
        <w:trPr/>
        <w:tc>
          <w:tcPr>
            <w:tcW w:w="129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June 30, 2026</w:t>
            </w:r>
          </w:p>
        </w:tc>
        <w:tc>
          <w:tcPr>
            <w:tcW w:w="60" w:type="dxa"/>
            <w:tcBorders/>
            <w:shd w:fill="FFFFFF" w:val="clear"/>
            <w:vAlign w:val="center"/>
          </w:tcPr>
          <w:p>
            <w:pPr>
              <w:pStyle w:val="TableContents"/>
              <w:bidi w:val="0"/>
              <w:spacing w:before="0" w:after="283"/>
              <w:ind w:left="0" w:right="0" w:hanging="0"/>
              <w:jc w:val="left"/>
              <w:rPr/>
            </w:pPr>
            <w:r>
              <w:rPr/>
              <w:t> </w:t>
            </w:r>
          </w:p>
        </w:tc>
        <w:tc>
          <w:tcPr>
            <w:tcW w:w="8764" w:type="dxa"/>
            <w:gridSpan w:val="34"/>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i/>
                <w:caps w:val="false"/>
                <w:smallCaps w:val="false"/>
                <w:sz w:val="18"/>
              </w:rPr>
              <w:t>(dollars in thousands)</w:t>
            </w:r>
          </w:p>
        </w:tc>
        <w:tc>
          <w:tcPr>
            <w:tcW w:w="86" w:type="dxa"/>
            <w:tcBorders/>
            <w:shd w:fill="FFFFFF" w:val="clear"/>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Government agency securities</w:t>
            </w:r>
          </w:p>
        </w:tc>
        <w:tc>
          <w:tcPr>
            <w:tcW w:w="60" w:type="dxa"/>
            <w:tcBorders/>
            <w:shd w:fill="CCEEFF" w:val="clear"/>
            <w:vAlign w:val="center"/>
          </w:tcPr>
          <w:p>
            <w:pPr>
              <w:pStyle w:val="TableContents"/>
              <w:bidi w:val="0"/>
              <w:spacing w:before="0" w:after="283"/>
              <w:ind w:left="0" w:right="0" w:hanging="0"/>
              <w:jc w:val="left"/>
              <w:rPr/>
            </w:pPr>
            <w:r>
              <w:rPr/>
              <w:t> </w:t>
            </w:r>
          </w:p>
        </w:tc>
        <w:tc>
          <w:tcPr>
            <w:tcW w:w="114"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(56</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69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4"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5,301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6"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(158</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69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4"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16,328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6"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(214</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71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w:t>
            </w:r>
          </w:p>
        </w:tc>
        <w:tc>
          <w:tcPr>
            <w:tcW w:w="86" w:type="dxa"/>
            <w:tcBorders/>
            <w:shd w:fill="CCEEFF" w:val="clear"/>
            <w:vAlign w:val="center"/>
          </w:tcPr>
          <w:p>
            <w:pPr>
              <w:pStyle w:val="TableContents"/>
              <w:bidi w:val="0"/>
              <w:spacing w:before="0" w:after="283"/>
              <w:jc w:val="left"/>
              <w:rPr/>
            </w:pPr>
            <w:r>
              <w:rPr/>
              <w:t> </w:t>
            </w:r>
          </w:p>
        </w:tc>
      </w:tr>
      <w:tr>
        <w:trPr/>
        <w:tc>
          <w:tcPr>
            <w:tcW w:w="12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SBA agency securities</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63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16,551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(163</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69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63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82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(146</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69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63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19,319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82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(309</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71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w:t>
            </w:r>
          </w:p>
        </w:tc>
        <w:tc>
          <w:tcPr>
            <w:tcW w:w="86" w:type="dxa"/>
            <w:tcBorders/>
            <w:shd w:fill="FFFFFF" w:val="clear"/>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MBS: Residential</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63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42,983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(594</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69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63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25,644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(4,419</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69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63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68,627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(5,013</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71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w:t>
            </w:r>
          </w:p>
        </w:tc>
        <w:tc>
          <w:tcPr>
            <w:tcW w:w="86" w:type="dxa"/>
            <w:tcBorders/>
            <w:shd w:fill="CCEEFF" w:val="clear"/>
            <w:vAlign w:val="center"/>
          </w:tcPr>
          <w:p>
            <w:pPr>
              <w:pStyle w:val="TableContents"/>
              <w:bidi w:val="0"/>
              <w:spacing w:before="0" w:after="283"/>
              <w:jc w:val="left"/>
              <w:rPr/>
            </w:pPr>
            <w:r>
              <w:rPr/>
              <w:t> </w:t>
            </w:r>
          </w:p>
        </w:tc>
      </w:tr>
      <w:tr>
        <w:trPr/>
        <w:tc>
          <w:tcPr>
            <w:tcW w:w="1295" w:type="dxa"/>
            <w:tcBorders/>
            <w:shd w:fill="FFFFFF" w:val="clear"/>
            <w:vAlign w:val="center"/>
          </w:tcPr>
          <w:p>
            <w:pPr>
              <w:pStyle w:val="TableContents"/>
              <w:bidi w:val="0"/>
              <w:spacing w:before="0" w:after="0"/>
              <w:ind w:left="540" w:right="0" w:hanging="54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MBS: Commercial</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9,965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(28</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9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9,965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(28</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w:t>
            </w:r>
          </w:p>
        </w:tc>
        <w:tc>
          <w:tcPr>
            <w:tcW w:w="86" w:type="dxa"/>
            <w:tcBorders/>
            <w:shd w:fill="FFFFFF" w:val="clear"/>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CMO: Residential</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63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27,637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(275</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69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63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48,563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(9,106</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69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63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76,200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(9,381</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71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w:t>
            </w:r>
          </w:p>
        </w:tc>
        <w:tc>
          <w:tcPr>
            <w:tcW w:w="86" w:type="dxa"/>
            <w:tcBorders/>
            <w:shd w:fill="CCEEFF" w:val="clear"/>
            <w:vAlign w:val="center"/>
          </w:tcPr>
          <w:p>
            <w:pPr>
              <w:pStyle w:val="TableContents"/>
              <w:bidi w:val="0"/>
              <w:spacing w:before="0" w:after="283"/>
              <w:jc w:val="left"/>
              <w:rPr/>
            </w:pPr>
            <w:r>
              <w:rPr/>
              <w:t> </w:t>
            </w:r>
          </w:p>
        </w:tc>
      </w:tr>
      <w:tr>
        <w:trPr/>
        <w:tc>
          <w:tcPr>
            <w:tcW w:w="12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CMO: Commercial</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63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14,891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(34</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69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63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42,155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82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(2,107</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69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63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57,046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82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(2,141</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71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w:t>
            </w:r>
          </w:p>
        </w:tc>
        <w:tc>
          <w:tcPr>
            <w:tcW w:w="86" w:type="dxa"/>
            <w:tcBorders/>
            <w:shd w:fill="FFFFFF" w:val="clear"/>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0"/>
              <w:ind w:left="540" w:right="0" w:hanging="54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Commercial paper</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19,786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19,786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w:t>
            </w:r>
          </w:p>
        </w:tc>
        <w:tc>
          <w:tcPr>
            <w:tcW w:w="86" w:type="dxa"/>
            <w:tcBorders/>
            <w:shd w:fill="CCEEFF" w:val="clear"/>
            <w:vAlign w:val="center"/>
          </w:tcPr>
          <w:p>
            <w:pPr>
              <w:pStyle w:val="TableContents"/>
              <w:bidi w:val="0"/>
              <w:spacing w:before="0" w:after="283"/>
              <w:jc w:val="left"/>
              <w:rPr/>
            </w:pPr>
            <w:r>
              <w:rPr/>
              <w:t> </w:t>
            </w:r>
          </w:p>
        </w:tc>
      </w:tr>
      <w:tr>
        <w:trPr/>
        <w:tc>
          <w:tcPr>
            <w:tcW w:w="12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Corporate debt securities</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63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69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63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16,604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82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(1,505</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69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63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17,590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82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(1,518</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71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w:t>
            </w:r>
          </w:p>
        </w:tc>
        <w:tc>
          <w:tcPr>
            <w:tcW w:w="86" w:type="dxa"/>
            <w:tcBorders/>
            <w:shd w:fill="FFFFFF" w:val="clear"/>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Municipal tax-exempt securities</w:t>
            </w:r>
          </w:p>
        </w:tc>
        <w:tc>
          <w:tcPr>
            <w:tcW w:w="60" w:type="dxa"/>
            <w:tcBorders/>
            <w:shd w:fill="CCEEFF" w:val="clear"/>
            <w:vAlign w:val="center"/>
          </w:tcPr>
          <w:p>
            <w:pPr>
              <w:pStyle w:val="TableContents"/>
              <w:bidi w:val="0"/>
              <w:spacing w:before="0" w:after="283"/>
              <w:jc w:val="left"/>
              <w:rPr/>
            </w:pPr>
            <w:r>
              <w:rPr/>
              <w:t> </w:t>
            </w:r>
          </w:p>
        </w:tc>
        <w:tc>
          <w:tcPr>
            <w:tcW w:w="11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9,757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(2,793</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9,757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(2,793</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w:t>
            </w:r>
          </w:p>
        </w:tc>
        <w:tc>
          <w:tcPr>
            <w:tcW w:w="86" w:type="dxa"/>
            <w:tcBorders/>
            <w:shd w:fill="CCEEFF" w:val="clear"/>
            <w:vAlign w:val="center"/>
          </w:tcPr>
          <w:p>
            <w:pPr>
              <w:pStyle w:val="TableContents"/>
              <w:bidi w:val="0"/>
              <w:spacing w:before="0" w:after="283"/>
              <w:jc w:val="left"/>
              <w:rPr/>
            </w:pPr>
            <w:r>
              <w:rPr/>
              <w:t> </w:t>
            </w:r>
          </w:p>
        </w:tc>
      </w:tr>
      <w:tr>
        <w:trPr/>
        <w:tc>
          <w:tcPr>
            <w:tcW w:w="129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 AFS</w:t>
            </w:r>
          </w:p>
        </w:tc>
        <w:tc>
          <w:tcPr>
            <w:tcW w:w="60" w:type="dxa"/>
            <w:tcBorders/>
            <w:shd w:fill="FFFFFF" w:val="clear"/>
            <w:vAlign w:val="center"/>
          </w:tcPr>
          <w:p>
            <w:pPr>
              <w:pStyle w:val="TableContents"/>
              <w:bidi w:val="0"/>
              <w:spacing w:before="0" w:after="283"/>
              <w:ind w:left="0" w:right="0" w:hanging="0"/>
              <w:jc w:val="left"/>
              <w:rPr/>
            </w:pPr>
            <w:r>
              <w:rPr/>
              <w:t> </w:t>
            </w:r>
          </w:p>
        </w:tc>
        <w:tc>
          <w:tcPr>
            <w:tcW w:w="11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143,826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9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(1,172</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150,792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2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(20,234</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294,618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2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(21,406</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132</w:t>
            </w:r>
          </w:p>
        </w:tc>
        <w:tc>
          <w:tcPr>
            <w:tcW w:w="86" w:type="dxa"/>
            <w:tcBorders/>
            <w:shd w:fill="FFFFFF" w:val="clear"/>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r>
      <w:tr>
        <w:trPr/>
        <w:tc>
          <w:tcPr>
            <w:tcW w:w="12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Municipal tax-exempt securities</w:t>
            </w:r>
          </w:p>
        </w:tc>
        <w:tc>
          <w:tcPr>
            <w:tcW w:w="60" w:type="dxa"/>
            <w:tcBorders/>
            <w:shd w:fill="FFFFFF" w:val="clear"/>
            <w:vAlign w:val="center"/>
          </w:tcPr>
          <w:p>
            <w:pPr>
              <w:pStyle w:val="TableContents"/>
              <w:bidi w:val="0"/>
              <w:spacing w:before="0" w:after="283"/>
              <w:jc w:val="left"/>
              <w:rPr/>
            </w:pPr>
            <w:r>
              <w:rPr/>
              <w:t> </w:t>
            </w:r>
          </w:p>
        </w:tc>
        <w:tc>
          <w:tcPr>
            <w:tcW w:w="1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(86</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3,638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(103</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w:t>
            </w:r>
          </w:p>
        </w:tc>
        <w:tc>
          <w:tcPr>
            <w:tcW w:w="86" w:type="dxa"/>
            <w:tcBorders/>
            <w:shd w:fill="FFFFFF" w:val="clear"/>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 HTM</w:t>
            </w:r>
          </w:p>
        </w:tc>
        <w:tc>
          <w:tcPr>
            <w:tcW w:w="60" w:type="dxa"/>
            <w:tcBorders/>
            <w:shd w:fill="CCEEFF" w:val="clear"/>
            <w:vAlign w:val="center"/>
          </w:tcPr>
          <w:p>
            <w:pPr>
              <w:pStyle w:val="TableContents"/>
              <w:bidi w:val="0"/>
              <w:spacing w:before="0" w:after="283"/>
              <w:ind w:left="0" w:right="0" w:hanging="0"/>
              <w:jc w:val="left"/>
              <w:rPr/>
            </w:pPr>
            <w:r>
              <w:rPr/>
              <w:t> </w:t>
            </w:r>
          </w:p>
        </w:tc>
        <w:tc>
          <w:tcPr>
            <w:tcW w:w="1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(86</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3,638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(103</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w:t>
            </w:r>
          </w:p>
        </w:tc>
        <w:tc>
          <w:tcPr>
            <w:tcW w:w="8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12"/>
        <w:gridCol w:w="60"/>
        <w:gridCol w:w="120"/>
        <w:gridCol w:w="563"/>
        <w:gridCol w:w="62"/>
        <w:gridCol w:w="62"/>
        <w:gridCol w:w="234"/>
        <w:gridCol w:w="750"/>
        <w:gridCol w:w="83"/>
        <w:gridCol w:w="62"/>
        <w:gridCol w:w="161"/>
        <w:gridCol w:w="703"/>
        <w:gridCol w:w="60"/>
        <w:gridCol w:w="60"/>
        <w:gridCol w:w="114"/>
        <w:gridCol w:w="632"/>
        <w:gridCol w:w="60"/>
        <w:gridCol w:w="60"/>
        <w:gridCol w:w="157"/>
        <w:gridCol w:w="827"/>
        <w:gridCol w:w="80"/>
        <w:gridCol w:w="60"/>
        <w:gridCol w:w="148"/>
        <w:gridCol w:w="716"/>
        <w:gridCol w:w="60"/>
        <w:gridCol w:w="60"/>
        <w:gridCol w:w="114"/>
        <w:gridCol w:w="632"/>
        <w:gridCol w:w="60"/>
        <w:gridCol w:w="60"/>
        <w:gridCol w:w="157"/>
        <w:gridCol w:w="827"/>
        <w:gridCol w:w="80"/>
        <w:gridCol w:w="60"/>
        <w:gridCol w:w="148"/>
        <w:gridCol w:w="716"/>
        <w:gridCol w:w="85"/>
      </w:tblGrid>
      <w:tr>
        <w:trPr/>
        <w:tc>
          <w:tcPr>
            <w:tcW w:w="13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0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Less than Twelve Months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54"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Twelve Months or More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54"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Total</w:t>
            </w:r>
          </w:p>
        </w:tc>
        <w:tc>
          <w:tcPr>
            <w:tcW w:w="85" w:type="dxa"/>
            <w:tcBorders/>
            <w:shd w:fill="FFFFFF" w:val="clear"/>
            <w:vAlign w:val="center"/>
          </w:tcPr>
          <w:p>
            <w:pPr>
              <w:pStyle w:val="TableContents"/>
              <w:bidi w:val="0"/>
              <w:spacing w:before="0" w:after="283"/>
              <w:jc w:val="left"/>
              <w:rPr/>
            </w:pPr>
            <w:r>
              <w:rPr/>
              <w:t> </w:t>
            </w:r>
          </w:p>
        </w:tc>
      </w:tr>
      <w:tr>
        <w:trPr/>
        <w:tc>
          <w:tcPr>
            <w:tcW w:w="13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Fair Value</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9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Unrealized Losses</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8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 of Issuances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Fair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Unrealized Losses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 of Issuances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Fair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Unrealized Losses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 of Issuances</w:t>
            </w:r>
          </w:p>
        </w:tc>
        <w:tc>
          <w:tcPr>
            <w:tcW w:w="85" w:type="dxa"/>
            <w:tcBorders/>
            <w:shd w:fill="FFFFFF" w:val="clear"/>
            <w:vAlign w:val="center"/>
          </w:tcPr>
          <w:p>
            <w:pPr>
              <w:pStyle w:val="TableContents"/>
              <w:bidi w:val="0"/>
              <w:spacing w:before="0" w:after="283"/>
              <w:jc w:val="left"/>
              <w:rPr/>
            </w:pPr>
            <w:r>
              <w:rPr/>
              <w:t> </w:t>
            </w:r>
          </w:p>
        </w:tc>
      </w:tr>
      <w:tr>
        <w:trPr/>
        <w:tc>
          <w:tcPr>
            <w:tcW w:w="131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December 31, 2025</w:t>
            </w:r>
          </w:p>
        </w:tc>
        <w:tc>
          <w:tcPr>
            <w:tcW w:w="60" w:type="dxa"/>
            <w:tcBorders/>
            <w:shd w:fill="FFFFFF" w:val="clear"/>
            <w:vAlign w:val="center"/>
          </w:tcPr>
          <w:p>
            <w:pPr>
              <w:pStyle w:val="TableContents"/>
              <w:bidi w:val="0"/>
              <w:spacing w:before="0" w:after="283"/>
              <w:ind w:left="0" w:right="0" w:hanging="0"/>
              <w:jc w:val="left"/>
              <w:rPr/>
            </w:pPr>
            <w:r>
              <w:rPr/>
              <w:t> </w:t>
            </w:r>
          </w:p>
        </w:tc>
        <w:tc>
          <w:tcPr>
            <w:tcW w:w="8748" w:type="dxa"/>
            <w:gridSpan w:val="34"/>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i/>
                <w:caps w:val="false"/>
                <w:smallCaps w:val="false"/>
                <w:sz w:val="18"/>
              </w:rPr>
              <w:t>(dollars in thousands)</w:t>
            </w:r>
          </w:p>
        </w:tc>
        <w:tc>
          <w:tcPr>
            <w:tcW w:w="85" w:type="dxa"/>
            <w:tcBorders/>
            <w:shd w:fill="FFFFFF" w:val="clear"/>
            <w:vAlign w:val="center"/>
          </w:tcPr>
          <w:p>
            <w:pPr>
              <w:pStyle w:val="TableContents"/>
              <w:bidi w:val="0"/>
              <w:spacing w:before="0" w:after="283"/>
              <w:jc w:val="left"/>
              <w:rPr/>
            </w:pPr>
            <w:r>
              <w:rPr/>
              <w:t> </w:t>
            </w:r>
          </w:p>
        </w:tc>
      </w:tr>
      <w:tr>
        <w:trPr/>
        <w:tc>
          <w:tcPr>
            <w:tcW w:w="131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Government agency securities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6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1,749</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w:t>
            </w:r>
          </w:p>
        </w:tc>
        <w:tc>
          <w:tcPr>
            <w:tcW w:w="83"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2"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70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4"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3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6,572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2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(173</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4"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3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8,321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2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(179</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w:t>
            </w:r>
          </w:p>
        </w:tc>
        <w:tc>
          <w:tcPr>
            <w:tcW w:w="85" w:type="dxa"/>
            <w:tcBorders/>
            <w:shd w:fill="CCEEFF" w:val="clear"/>
            <w:vAlign w:val="center"/>
          </w:tcPr>
          <w:p>
            <w:pPr>
              <w:pStyle w:val="TableContents"/>
              <w:bidi w:val="0"/>
              <w:spacing w:before="0" w:after="283"/>
              <w:jc w:val="left"/>
              <w:rPr/>
            </w:pPr>
            <w:r>
              <w:rPr/>
              <w:t> </w:t>
            </w:r>
          </w:p>
        </w:tc>
      </w:tr>
      <w:tr>
        <w:trPr/>
        <w:tc>
          <w:tcPr>
            <w:tcW w:w="131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SBA agency securities</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56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7,654</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(93</w:t>
            </w:r>
          </w:p>
        </w:tc>
        <w:tc>
          <w:tcPr>
            <w:tcW w:w="83"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2"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70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63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2,962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2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(143</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63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10,616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2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(236</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w:t>
            </w:r>
          </w:p>
        </w:tc>
        <w:tc>
          <w:tcPr>
            <w:tcW w:w="85" w:type="dxa"/>
            <w:tcBorders/>
            <w:shd w:fill="FFFFFF" w:val="clear"/>
            <w:vAlign w:val="center"/>
          </w:tcPr>
          <w:p>
            <w:pPr>
              <w:pStyle w:val="TableContents"/>
              <w:bidi w:val="0"/>
              <w:spacing w:before="0" w:after="283"/>
              <w:jc w:val="left"/>
              <w:rPr/>
            </w:pPr>
            <w:r>
              <w:rPr/>
              <w:t> </w:t>
            </w:r>
          </w:p>
        </w:tc>
      </w:tr>
      <w:tr>
        <w:trPr/>
        <w:tc>
          <w:tcPr>
            <w:tcW w:w="131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MBS: Residential</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56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14,196</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(91</w:t>
            </w:r>
          </w:p>
        </w:tc>
        <w:tc>
          <w:tcPr>
            <w:tcW w:w="83"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2"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70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63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27,573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2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(4,414</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63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41,769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2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(4,505</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w:t>
            </w:r>
          </w:p>
        </w:tc>
        <w:tc>
          <w:tcPr>
            <w:tcW w:w="85" w:type="dxa"/>
            <w:tcBorders/>
            <w:shd w:fill="CCEEFF" w:val="clear"/>
            <w:vAlign w:val="center"/>
          </w:tcPr>
          <w:p>
            <w:pPr>
              <w:pStyle w:val="TableContents"/>
              <w:bidi w:val="0"/>
              <w:spacing w:before="0" w:after="283"/>
              <w:jc w:val="left"/>
              <w:rPr/>
            </w:pPr>
            <w:r>
              <w:rPr/>
              <w:t> </w:t>
            </w:r>
          </w:p>
        </w:tc>
      </w:tr>
      <w:tr>
        <w:trPr/>
        <w:tc>
          <w:tcPr>
            <w:tcW w:w="131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MBS: Commercial</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56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4,977</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w:t>
            </w:r>
          </w:p>
        </w:tc>
        <w:tc>
          <w:tcPr>
            <w:tcW w:w="83"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2"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70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63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2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63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2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w:t>
            </w:r>
          </w:p>
        </w:tc>
        <w:tc>
          <w:tcPr>
            <w:tcW w:w="85" w:type="dxa"/>
            <w:tcBorders/>
            <w:shd w:fill="FFFFFF" w:val="clear"/>
            <w:vAlign w:val="center"/>
          </w:tcPr>
          <w:p>
            <w:pPr>
              <w:pStyle w:val="TableContents"/>
              <w:bidi w:val="0"/>
              <w:spacing w:before="0" w:after="283"/>
              <w:jc w:val="left"/>
              <w:rPr/>
            </w:pPr>
            <w:r>
              <w:rPr/>
              <w:t> </w:t>
            </w:r>
          </w:p>
        </w:tc>
      </w:tr>
      <w:tr>
        <w:trPr/>
        <w:tc>
          <w:tcPr>
            <w:tcW w:w="131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CMO: Residential</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56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3,130</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w:t>
            </w:r>
          </w:p>
        </w:tc>
        <w:tc>
          <w:tcPr>
            <w:tcW w:w="83"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2"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70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63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53,195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2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(8,739</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63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56,325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2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(8,740</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w:t>
            </w:r>
          </w:p>
        </w:tc>
        <w:tc>
          <w:tcPr>
            <w:tcW w:w="85" w:type="dxa"/>
            <w:tcBorders/>
            <w:shd w:fill="CCEEFF" w:val="clear"/>
            <w:vAlign w:val="center"/>
          </w:tcPr>
          <w:p>
            <w:pPr>
              <w:pStyle w:val="TableContents"/>
              <w:bidi w:val="0"/>
              <w:spacing w:before="0" w:after="283"/>
              <w:jc w:val="left"/>
              <w:rPr/>
            </w:pPr>
            <w:r>
              <w:rPr/>
              <w:t> </w:t>
            </w:r>
          </w:p>
        </w:tc>
      </w:tr>
      <w:tr>
        <w:trPr/>
        <w:tc>
          <w:tcPr>
            <w:tcW w:w="131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CMO: Commercial</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56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13,947</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w:t>
            </w:r>
          </w:p>
        </w:tc>
        <w:tc>
          <w:tcPr>
            <w:tcW w:w="83"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2"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70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63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49,366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2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(2,130</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63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63,313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2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(2,161</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w:t>
            </w:r>
          </w:p>
        </w:tc>
        <w:tc>
          <w:tcPr>
            <w:tcW w:w="85" w:type="dxa"/>
            <w:tcBorders/>
            <w:shd w:fill="FFFFFF" w:val="clear"/>
            <w:vAlign w:val="center"/>
          </w:tcPr>
          <w:p>
            <w:pPr>
              <w:pStyle w:val="TableContents"/>
              <w:bidi w:val="0"/>
              <w:spacing w:before="0" w:after="283"/>
              <w:jc w:val="left"/>
              <w:rPr/>
            </w:pPr>
            <w:r>
              <w:rPr/>
              <w:t> </w:t>
            </w:r>
          </w:p>
        </w:tc>
      </w:tr>
      <w:tr>
        <w:trPr/>
        <w:tc>
          <w:tcPr>
            <w:tcW w:w="131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Corporate debt securities</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563" w:type="dxa"/>
            <w:tcBorders/>
            <w:shd w:fill="CCEEFF" w:val="clear"/>
            <w:vAlign w:val="center"/>
          </w:tcPr>
          <w:p>
            <w:pPr>
              <w:pStyle w:val="TableContents"/>
              <w:bidi w:val="0"/>
              <w:spacing w:before="0" w:after="283"/>
              <w:ind w:left="0" w:right="0" w:hanging="0"/>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pPr>
            <w:r>
              <w:rPr/>
              <w:t>—</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70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63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22,577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2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(1,811</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63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22,577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2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(1,811</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w:t>
            </w:r>
          </w:p>
        </w:tc>
        <w:tc>
          <w:tcPr>
            <w:tcW w:w="85" w:type="dxa"/>
            <w:tcBorders/>
            <w:shd w:fill="CCEEFF" w:val="clear"/>
            <w:vAlign w:val="center"/>
          </w:tcPr>
          <w:p>
            <w:pPr>
              <w:pStyle w:val="TableContents"/>
              <w:bidi w:val="0"/>
              <w:spacing w:before="0" w:after="283"/>
              <w:jc w:val="left"/>
              <w:rPr/>
            </w:pPr>
            <w:r>
              <w:rPr/>
              <w:t> </w:t>
            </w:r>
          </w:p>
        </w:tc>
      </w:tr>
      <w:tr>
        <w:trPr/>
        <w:tc>
          <w:tcPr>
            <w:tcW w:w="131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Municipal tax-exempt securities</w:t>
            </w:r>
          </w:p>
        </w:tc>
        <w:tc>
          <w:tcPr>
            <w:tcW w:w="60" w:type="dxa"/>
            <w:tcBorders/>
            <w:shd w:fill="FFFFFF" w:val="clear"/>
            <w:vAlign w:val="center"/>
          </w:tcPr>
          <w:p>
            <w:pPr>
              <w:pStyle w:val="TableContents"/>
              <w:bidi w:val="0"/>
              <w:spacing w:before="0" w:after="283"/>
              <w:jc w:val="left"/>
              <w:rPr/>
            </w:pPr>
            <w:r>
              <w:rPr/>
              <w:t> </w:t>
            </w:r>
          </w:p>
        </w:tc>
        <w:tc>
          <w:tcPr>
            <w:tcW w:w="1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9,515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(3,052</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9,515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(3,052</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w:t>
            </w:r>
          </w:p>
        </w:tc>
        <w:tc>
          <w:tcPr>
            <w:tcW w:w="85" w:type="dxa"/>
            <w:tcBorders/>
            <w:shd w:fill="FFFFFF" w:val="clear"/>
            <w:vAlign w:val="center"/>
          </w:tcPr>
          <w:p>
            <w:pPr>
              <w:pStyle w:val="TableContents"/>
              <w:bidi w:val="0"/>
              <w:spacing w:before="0" w:after="283"/>
              <w:jc w:val="left"/>
              <w:rPr/>
            </w:pPr>
            <w:r>
              <w:rPr/>
              <w:t> </w:t>
            </w:r>
          </w:p>
        </w:tc>
      </w:tr>
      <w:tr>
        <w:trPr/>
        <w:tc>
          <w:tcPr>
            <w:tcW w:w="1312"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 AFS</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6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45,653</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(255</w:t>
            </w:r>
          </w:p>
        </w:tc>
        <w:tc>
          <w:tcPr>
            <w:tcW w:w="83"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2" w:type="dxa"/>
            <w:tcBorders/>
            <w:shd w:fill="CCEEFF" w:val="clear"/>
            <w:vAlign w:val="center"/>
          </w:tcPr>
          <w:p>
            <w:pPr>
              <w:pStyle w:val="TableContents"/>
              <w:bidi w:val="0"/>
              <w:spacing w:before="0" w:after="283"/>
              <w:jc w:val="left"/>
              <w:rPr/>
            </w:pPr>
            <w:r>
              <w:rPr/>
              <w:t> </w:t>
            </w:r>
          </w:p>
        </w:tc>
        <w:tc>
          <w:tcPr>
            <w:tcW w:w="16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171,760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2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(20,462</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217,413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2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(20,717</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117</w:t>
            </w:r>
          </w:p>
        </w:tc>
        <w:tc>
          <w:tcPr>
            <w:tcW w:w="85" w:type="dxa"/>
            <w:tcBorders/>
            <w:shd w:fill="CCEEFF" w:val="clear"/>
            <w:vAlign w:val="center"/>
          </w:tcPr>
          <w:p>
            <w:pPr>
              <w:pStyle w:val="TableContents"/>
              <w:bidi w:val="0"/>
              <w:spacing w:before="0" w:after="283"/>
              <w:jc w:val="left"/>
              <w:rPr/>
            </w:pPr>
            <w:r>
              <w:rPr/>
              <w:t> </w:t>
            </w:r>
          </w:p>
        </w:tc>
      </w:tr>
      <w:tr>
        <w:trPr/>
        <w:tc>
          <w:tcPr>
            <w:tcW w:w="13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r>
      <w:tr>
        <w:trPr/>
        <w:tc>
          <w:tcPr>
            <w:tcW w:w="131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Municipal tax-exempt securities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3,663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(81</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3,663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(81</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w:t>
            </w:r>
          </w:p>
        </w:tc>
        <w:tc>
          <w:tcPr>
            <w:tcW w:w="85" w:type="dxa"/>
            <w:tcBorders/>
            <w:shd w:fill="CCEEFF" w:val="clear"/>
            <w:vAlign w:val="center"/>
          </w:tcPr>
          <w:p>
            <w:pPr>
              <w:pStyle w:val="TableContents"/>
              <w:bidi w:val="0"/>
              <w:spacing w:before="0" w:after="283"/>
              <w:jc w:val="left"/>
              <w:rPr/>
            </w:pPr>
            <w:r>
              <w:rPr/>
              <w:t> </w:t>
            </w:r>
          </w:p>
        </w:tc>
      </w:tr>
      <w:tr>
        <w:trPr/>
        <w:tc>
          <w:tcPr>
            <w:tcW w:w="1312"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 HTM</w:t>
            </w:r>
          </w:p>
        </w:tc>
        <w:tc>
          <w:tcPr>
            <w:tcW w:w="60" w:type="dxa"/>
            <w:tcBorders/>
            <w:shd w:fill="FFFFFF" w:val="clear"/>
            <w:vAlign w:val="center"/>
          </w:tcPr>
          <w:p>
            <w:pPr>
              <w:pStyle w:val="TableContents"/>
              <w:bidi w:val="0"/>
              <w:spacing w:before="0" w:after="283"/>
              <w:ind w:left="0" w:right="0" w:hanging="0"/>
              <w:jc w:val="left"/>
              <w:rPr/>
            </w:pPr>
            <w:r>
              <w:rPr/>
              <w:t> </w:t>
            </w:r>
          </w:p>
        </w:tc>
        <w:tc>
          <w:tcPr>
            <w:tcW w:w="12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6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6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3,663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2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(81</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3,663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2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(81</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w:t>
            </w:r>
          </w:p>
        </w:tc>
        <w:tc>
          <w:tcPr>
            <w:tcW w:w="8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securities that were in an unrealized loss position at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were evaluated to determine whether the decline in fair value below the amortized cost basis resulted from a credit loss or other factors. We concluded that the unrealized losses were primarily attributed to yield curve movement. All SBA agency securities, mortgage-backed securities, and collateralized mortgage obligations are issued by government or government sponsored entities and have the support of the U.S. federal government. The issuers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our knowledge, established any cause for default on these securities. We expect to recover the amortized cost basis of our securities and have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present intent to sell and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 to be required to sell securities that have declined below their cost before their anticipated recovery.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r>
        <w:rPr>
          <w:rFonts w:ascii="Times New Roman" w:hAnsi="Times New Roman"/>
          <w:caps w:val="false"/>
          <w:smallCaps w:val="false"/>
          <w:sz w:val="20"/>
          <w:shd w:fill="FFFFFF" w:val="clear"/>
        </w:rPr>
        <w:t xml:space="preserve"> all of our HT</w:t>
      </w:r>
      <w:r>
        <w:rPr>
          <w:rFonts w:ascii="Times New Roman" w:hAnsi="Times New Roman"/>
          <w:caps w:val="false"/>
          <w:smallCaps w:val="false"/>
          <w:sz w:val="20"/>
        </w:rPr>
        <w:t>M securities were rated “AA-” or above. Accordingly</w:t>
      </w:r>
      <w:r>
        <w:rPr>
          <w:rFonts w:ascii="Times New Roman" w:hAnsi="Times New Roman"/>
          <w:caps w:val="false"/>
          <w:smallCaps w:val="false"/>
          <w:sz w:val="20"/>
          <w:shd w:fill="FFFFFF" w:val="clear"/>
        </w:rPr>
        <w:t xml:space="preserve">, </w:t>
      </w:r>
      <w:r>
        <w:rPr>
          <w:rStyle w:val="Emphasis"/>
          <w:rFonts w:ascii="Times New Roman" w:hAnsi="Times New Roman"/>
          <w:caps w:val="false"/>
          <w:smallCaps w:val="false"/>
          <w:sz w:val="20"/>
          <w:shd w:fill="FFFFFF" w:val="clear"/>
        </w:rPr>
        <w:t>no</w:t>
      </w:r>
      <w:r>
        <w:rPr>
          <w:rFonts w:ascii="Times New Roman" w:hAnsi="Times New Roman"/>
          <w:caps w:val="false"/>
          <w:smallCaps w:val="false"/>
          <w:sz w:val="20"/>
          <w:shd w:fill="FFFFFF" w:val="clear"/>
        </w:rPr>
        <w:t xml:space="preserve"> ACL </w:t>
      </w:r>
      <w:r>
        <w:rPr>
          <w:rFonts w:ascii="Times New Roman" w:hAnsi="Times New Roman"/>
          <w:caps w:val="false"/>
          <w:smallCaps w:val="false"/>
          <w:sz w:val="20"/>
        </w:rPr>
        <w:t xml:space="preserve">was recorded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against HTM or AFS securities, and there wa</w:t>
      </w:r>
      <w:r>
        <w:rPr>
          <w:rFonts w:ascii="Times New Roman" w:hAnsi="Times New Roman"/>
          <w:caps w:val="false"/>
          <w:smallCaps w:val="false"/>
          <w:sz w:val="20"/>
          <w:shd w:fill="FFFFFF" w:val="clear"/>
        </w:rPr>
        <w:t>s no provision for cr</w:t>
      </w:r>
      <w:r>
        <w:rPr>
          <w:rFonts w:ascii="Times New Roman" w:hAnsi="Times New Roman"/>
          <w:caps w:val="false"/>
          <w:smallCaps w:val="false"/>
          <w:sz w:val="20"/>
        </w:rPr>
        <w:t xml:space="preserve">edit losses recognized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4</w:t>
      </w:r>
      <w:r>
        <w:rPr>
          <w:rFonts w:ascii="Times New Roman" w:hAnsi="Times New Roman"/>
          <w:b/>
          <w:caps w:val="false"/>
          <w:smallCaps w:val="false"/>
          <w:sz w:val="20"/>
        </w:rPr>
        <w:t xml:space="preserve"> - LOANS AND ALLOWANCE FOR CREDIT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loan portfolio consists primarily of loans to borrowers within the Southern California metropolitan area, the New York City metropolitan area, Chicago (Illinois), Las Vegas (Nevada), Edison (New Jersey) and Honolulu (Hawaii). Although we seek to avoid concentrations of loans to a single industry or based upon a single class of collateral, real estate and real estate associated businesses are among the principal industries in our market area and, as a result, our loan and collateral portfolios are, to some degree, concentrated in those industries.</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following table presents the balances in our loan held for investment ("HFI") portfolio by loan segment and class as of the dates indicated:</w:t>
      </w:r>
    </w:p>
    <w:p>
      <w:pPr>
        <w:pStyle w:val="TextBody"/>
        <w:bidi w:val="0"/>
        <w:spacing w:before="0" w:after="0"/>
        <w:ind w:left="0" w:right="0" w:firstLine="540"/>
        <w:jc w:val="both"/>
        <w:rPr>
          <w:caps w:val="false"/>
          <w:smallCaps w:val="false"/>
        </w:rPr>
      </w:pPr>
      <w:r>
        <w:rPr>
          <w:caps w:val="false"/>
          <w:smallCaps w:val="false"/>
        </w:rPr>
        <w:t> </w:t>
      </w:r>
    </w:p>
    <w:tbl>
      <w:tblPr>
        <w:tblW w:w="6023" w:type="dxa"/>
        <w:jc w:val="left"/>
        <w:tblInd w:w="0" w:type="dxa"/>
        <w:tblLayout w:type="fixed"/>
        <w:tblCellMar>
          <w:top w:w="0" w:type="dxa"/>
          <w:left w:w="0" w:type="dxa"/>
          <w:bottom w:w="0" w:type="dxa"/>
          <w:right w:w="0" w:type="dxa"/>
        </w:tblCellMar>
      </w:tblPr>
      <w:tblGrid>
        <w:gridCol w:w="2945"/>
        <w:gridCol w:w="60"/>
        <w:gridCol w:w="153"/>
        <w:gridCol w:w="1036"/>
        <w:gridCol w:w="80"/>
        <w:gridCol w:w="60"/>
        <w:gridCol w:w="207"/>
        <w:gridCol w:w="1402"/>
        <w:gridCol w:w="80"/>
      </w:tblGrid>
      <w:tr>
        <w:trPr/>
        <w:tc>
          <w:tcPr>
            <w:tcW w:w="294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June 30, 2026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December 31, 2025</w:t>
            </w:r>
          </w:p>
        </w:tc>
        <w:tc>
          <w:tcPr>
            <w:tcW w:w="80" w:type="dxa"/>
            <w:tcBorders/>
            <w:shd w:fill="FFFFFF" w:val="clear"/>
            <w:vAlign w:val="center"/>
          </w:tcPr>
          <w:p>
            <w:pPr>
              <w:pStyle w:val="TableContents"/>
              <w:bidi w:val="0"/>
              <w:spacing w:before="0" w:after="0"/>
              <w:jc w:val="left"/>
              <w:rPr/>
            </w:pPr>
            <w:r>
              <w:rPr/>
              <w:t> </w:t>
            </w:r>
          </w:p>
        </w:tc>
      </w:tr>
      <w:tr>
        <w:trPr/>
        <w:tc>
          <w:tcPr>
            <w:tcW w:w="2945" w:type="dxa"/>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Loans HFI: (1)</w:t>
            </w:r>
          </w:p>
        </w:tc>
        <w:tc>
          <w:tcPr>
            <w:tcW w:w="60" w:type="dxa"/>
            <w:tcBorders/>
            <w:shd w:fill="FFFFFF" w:val="clear"/>
            <w:vAlign w:val="center"/>
          </w:tcPr>
          <w:p>
            <w:pPr>
              <w:pStyle w:val="TableContents"/>
              <w:bidi w:val="0"/>
              <w:spacing w:before="0" w:after="283"/>
              <w:ind w:left="0" w:right="0" w:hanging="0"/>
              <w:jc w:val="left"/>
              <w:rPr/>
            </w:pPr>
            <w:r>
              <w:rPr/>
              <w:t> </w:t>
            </w:r>
          </w:p>
        </w:tc>
        <w:tc>
          <w:tcPr>
            <w:tcW w:w="2938" w:type="dxa"/>
            <w:gridSpan w:val="6"/>
            <w:tcBorders/>
            <w:shd w:fill="FFFFFF" w:val="clear"/>
            <w:vAlign w:val="center"/>
          </w:tcPr>
          <w:p>
            <w:pPr>
              <w:pStyle w:val="TableContents"/>
              <w:bidi w:val="0"/>
              <w:spacing w:before="0" w:after="0"/>
              <w:ind w:left="0" w:right="0" w:hanging="0"/>
              <w:jc w:val="center"/>
              <w:rPr/>
            </w:pPr>
            <w:r>
              <w:rPr>
                <w:rStyle w:val="Emphasis"/>
                <w:rFonts w:ascii="Times New Roman" w:hAnsi="Times New Roman"/>
                <w:b/>
                <w:i/>
                <w:caps w:val="false"/>
                <w:smallCaps w:val="false"/>
                <w:sz w:val="20"/>
              </w:rPr>
              <w:t>(dollars in thousands)</w:t>
            </w:r>
          </w:p>
        </w:tc>
        <w:tc>
          <w:tcPr>
            <w:tcW w:w="8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Real Estate:</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40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Single-family residential mortgages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3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1,680,635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40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1,655,382</w:t>
            </w:r>
          </w:p>
        </w:tc>
        <w:tc>
          <w:tcPr>
            <w:tcW w:w="8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lineRule="auto" w:line="288"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Commercial real estate (2)</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10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1,277,559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40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1,303,019</w:t>
            </w:r>
          </w:p>
        </w:tc>
        <w:tc>
          <w:tcPr>
            <w:tcW w:w="80"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Construction and land development</w:t>
            </w:r>
          </w:p>
        </w:tc>
        <w:tc>
          <w:tcPr>
            <w:tcW w:w="60" w:type="dxa"/>
            <w:tcBorders/>
            <w:shd w:fill="FFFFFF" w:val="clear"/>
            <w:vAlign w:val="center"/>
          </w:tcPr>
          <w:p>
            <w:pPr>
              <w:pStyle w:val="TableContents"/>
              <w:bidi w:val="0"/>
              <w:spacing w:before="0" w:after="283"/>
              <w:ind w:left="0" w:right="0" w:hanging="0"/>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103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146,273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40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155,464</w:t>
            </w:r>
          </w:p>
        </w:tc>
        <w:tc>
          <w:tcPr>
            <w:tcW w:w="8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Commercial:</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40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Commercial and industrial</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103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151,961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40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140,061</w:t>
            </w:r>
          </w:p>
        </w:tc>
        <w:tc>
          <w:tcPr>
            <w:tcW w:w="8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SBA</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10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49,667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40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55,978</w:t>
            </w:r>
          </w:p>
        </w:tc>
        <w:tc>
          <w:tcPr>
            <w:tcW w:w="80"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540" w:right="0" w:hanging="36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4,397</w:t>
            </w:r>
          </w:p>
        </w:tc>
        <w:tc>
          <w:tcPr>
            <w:tcW w:w="8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loans HFI</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3,309,459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40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3,314,301</w:t>
            </w:r>
          </w:p>
        </w:tc>
        <w:tc>
          <w:tcPr>
            <w:tcW w:w="80"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720" w:right="0" w:hanging="360"/>
              <w:jc w:val="left"/>
              <w:rPr>
                <w:rFonts w:ascii="Times New Roman" w:hAnsi="Times New Roman"/>
                <w:caps w:val="false"/>
                <w:smallCaps w:val="false"/>
                <w:sz w:val="20"/>
              </w:rPr>
            </w:pPr>
            <w:r>
              <w:rPr>
                <w:rFonts w:ascii="Times New Roman" w:hAnsi="Times New Roman"/>
                <w:caps w:val="false"/>
                <w:smallCaps w:val="false"/>
                <w:sz w:val="20"/>
              </w:rPr>
              <w:t>Allowance for loan losses</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(43,660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(43,888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945"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loans HFI, net</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3,265,799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40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3,270,413</w:t>
            </w:r>
          </w:p>
        </w:tc>
        <w:tc>
          <w:tcPr>
            <w:tcW w:w="80" w:type="dxa"/>
            <w:tcBorders/>
            <w:shd w:fill="CCEEFF" w:val="clear"/>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75"/>
        <w:gridCol w:w="228"/>
        <w:gridCol w:w="9902"/>
      </w:tblGrid>
      <w:tr>
        <w:trPr/>
        <w:tc>
          <w:tcPr>
            <w:tcW w:w="75"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18"/>
              </w:rPr>
              <w:t>(</w:t>
            </w:r>
            <w:r>
              <w:rPr>
                <w:rStyle w:val="Emphasis"/>
                <w:rFonts w:ascii="Times New Roman;Times;serif" w:hAnsi="Times New Roman;Times;serif"/>
                <w:caps w:val="false"/>
                <w:smallCaps w:val="false"/>
                <w:sz w:val="18"/>
              </w:rPr>
              <w:t>1</w:t>
            </w:r>
            <w:r>
              <w:rPr>
                <w:rFonts w:ascii="Times New Roman;Times;serif" w:hAnsi="Times New Roman;Times;serif"/>
                <w:caps w:val="false"/>
                <w:smallCaps w:val="false"/>
                <w:sz w:val="18"/>
              </w:rPr>
              <w:t>)</w:t>
            </w:r>
          </w:p>
        </w:tc>
        <w:tc>
          <w:tcPr>
            <w:tcW w:w="990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Net of premiums (discounts) on acquired loans and net deferred (fees) and costs on originated loans.</w:t>
            </w:r>
          </w:p>
        </w:tc>
      </w:tr>
      <w:tr>
        <w:trPr/>
        <w:tc>
          <w:tcPr>
            <w:tcW w:w="75"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rFonts w:ascii="Times New Roman;Times;serif" w:hAnsi="Times New Roman;Times;serif"/>
                <w:sz w:val="18"/>
              </w:rPr>
              <w:t>(</w:t>
            </w:r>
            <w:r>
              <w:rPr>
                <w:rStyle w:val="Emphasis"/>
                <w:rFonts w:ascii="Times New Roman;Times;serif" w:hAnsi="Times New Roman;Times;serif"/>
                <w:sz w:val="18"/>
              </w:rPr>
              <w:t>2</w:t>
            </w:r>
            <w:r>
              <w:rPr>
                <w:rFonts w:ascii="Times New Roman;Times;serif" w:hAnsi="Times New Roman;Times;serif"/>
                <w:sz w:val="18"/>
              </w:rPr>
              <w:t>)</w:t>
            </w:r>
          </w:p>
        </w:tc>
        <w:tc>
          <w:tcPr>
            <w:tcW w:w="9902" w:type="dxa"/>
            <w:tcBorders/>
            <w:vAlign w:val="center"/>
          </w:tcPr>
          <w:p>
            <w:pPr>
              <w:pStyle w:val="TableContents"/>
              <w:bidi w:val="0"/>
              <w:spacing w:before="0" w:after="283"/>
              <w:jc w:val="both"/>
              <w:rPr>
                <w:rFonts w:ascii="Times New Roman;Times;serif" w:hAnsi="Times New Roman;Times;serif"/>
                <w:sz w:val="18"/>
              </w:rPr>
            </w:pPr>
            <w:r>
              <w:rPr>
                <w:rFonts w:ascii="Times New Roman;Times;serif" w:hAnsi="Times New Roman;Times;serif"/>
                <w:sz w:val="18"/>
              </w:rPr>
              <w:t>Includes non-farm and non-residential real estate loans, multifamily residential loans and non-owner occupied single-family residential loans.</w:t>
            </w:r>
          </w:p>
        </w:tc>
      </w:tr>
    </w:tbl>
    <w:p>
      <w:pPr>
        <w:pStyle w:val="TextBody"/>
        <w:bidi w:val="0"/>
        <w:spacing w:before="0" w:after="0"/>
        <w:ind w:left="0" w:right="0" w:hanging="0"/>
        <w:jc w:val="left"/>
        <w:rPr/>
      </w:pPr>
      <w:r>
        <w:rPr/>
        <w:t> </w:t>
      </w:r>
    </w:p>
    <w:p>
      <w:pPr>
        <w:pStyle w:val="TextBody"/>
        <w:bidi w:val="0"/>
        <w:spacing w:before="0" w:after="0"/>
        <w:ind w:left="0" w:right="0" w:firstLine="540"/>
        <w:jc w:val="both"/>
        <w:rPr/>
      </w:pPr>
      <w:r>
        <w:rPr>
          <w:rFonts w:ascii="Times New Roman;Times;serif" w:hAnsi="Times New Roman;Times;serif"/>
          <w:sz w:val="20"/>
        </w:rPr>
        <w:t xml:space="preserve">Accrued interest receivable on loans at </w:t>
      </w:r>
      <w:r>
        <w:rPr>
          <w:rStyle w:val="Emphasis"/>
          <w:rFonts w:ascii="Times New Roman;Times;serif" w:hAnsi="Times New Roman;Times;serif"/>
          <w:sz w:val="20"/>
        </w:rPr>
        <w:t xml:space="preserve">June 30, 2026 </w:t>
      </w:r>
      <w:r>
        <w:rPr>
          <w:rFonts w:ascii="Times New Roman;Times;serif" w:hAnsi="Times New Roman;Times;serif"/>
          <w:sz w:val="20"/>
        </w:rPr>
        <w:t xml:space="preserve">and </w:t>
      </w:r>
      <w:r>
        <w:rPr>
          <w:rStyle w:val="Emphasis"/>
          <w:rFonts w:ascii="Times New Roman;Times;serif" w:hAnsi="Times New Roman;Times;serif"/>
          <w:sz w:val="20"/>
        </w:rPr>
        <w:t xml:space="preserve">December 31, 2025 </w:t>
      </w:r>
      <w:r>
        <w:rPr>
          <w:rFonts w:ascii="Times New Roman;Times;serif" w:hAnsi="Times New Roman;Times;serif"/>
          <w:sz w:val="20"/>
        </w:rPr>
        <w:t xml:space="preserve">totaled $14.1 million and $14.3 million (included in "Accrued interest and other assets" in the consolidated balance sheets). At </w:t>
      </w:r>
      <w:r>
        <w:rPr>
          <w:rStyle w:val="Emphasis"/>
          <w:rFonts w:ascii="Times New Roman;Times;serif" w:hAnsi="Times New Roman;Times;serif"/>
          <w:sz w:val="20"/>
        </w:rPr>
        <w:t>June 30,</w:t>
      </w:r>
      <w:r>
        <w:rPr>
          <w:rFonts w:ascii="Times New Roman;Times;serif" w:hAnsi="Times New Roman;Times;serif"/>
          <w:sz w:val="20"/>
        </w:rPr>
        <w:t xml:space="preserve"> </w:t>
      </w:r>
      <w:r>
        <w:rPr>
          <w:rStyle w:val="Emphasis"/>
          <w:rFonts w:ascii="Times New Roman;Times;serif" w:hAnsi="Times New Roman;Times;serif"/>
          <w:sz w:val="20"/>
        </w:rPr>
        <w:t>2026</w:t>
      </w:r>
      <w:r>
        <w:rPr>
          <w:rFonts w:ascii="Times New Roman;Times;serif" w:hAnsi="Times New Roman;Times;serif"/>
          <w:sz w:val="20"/>
        </w:rPr>
        <w:t xml:space="preserve"> and </w:t>
      </w:r>
      <w:r>
        <w:rPr>
          <w:rStyle w:val="Emphasis"/>
          <w:rFonts w:ascii="Times New Roman;Times;serif" w:hAnsi="Times New Roman;Times;serif"/>
          <w:sz w:val="20"/>
        </w:rPr>
        <w:t xml:space="preserve">December 31, 2025, </w:t>
      </w:r>
      <w:r>
        <w:rPr>
          <w:rFonts w:ascii="Times New Roman;Times;serif" w:hAnsi="Times New Roman;Times;serif"/>
          <w:sz w:val="20"/>
        </w:rPr>
        <w:t xml:space="preserve">loans with carrying values of $2.0 billion and $1.9 billion were pledged to secure advances from the Federal Home Loan Bank ("FHLB") for up to $1.5 billion and $1.4 billion, respectively. At </w:t>
      </w:r>
      <w:r>
        <w:rPr>
          <w:rStyle w:val="Emphasis"/>
          <w:rFonts w:ascii="Times New Roman;Times;serif" w:hAnsi="Times New Roman;Times;serif"/>
          <w:sz w:val="20"/>
        </w:rPr>
        <w:t>June 30,</w:t>
      </w:r>
      <w:r>
        <w:rPr>
          <w:rFonts w:ascii="Times New Roman;Times;serif" w:hAnsi="Times New Roman;Times;serif"/>
          <w:sz w:val="20"/>
        </w:rPr>
        <w:t xml:space="preserve"> </w:t>
      </w:r>
      <w:r>
        <w:rPr>
          <w:rStyle w:val="Emphasis"/>
          <w:rFonts w:ascii="Times New Roman;Times;serif" w:hAnsi="Times New Roman;Times;serif"/>
          <w:sz w:val="20"/>
        </w:rPr>
        <w:t>2026</w:t>
      </w:r>
      <w:r>
        <w:rPr>
          <w:rFonts w:ascii="Times New Roman;Times;serif" w:hAnsi="Times New Roman;Times;serif"/>
          <w:sz w:val="20"/>
        </w:rPr>
        <w:t xml:space="preserve"> and </w:t>
      </w:r>
      <w:r>
        <w:rPr>
          <w:rStyle w:val="Emphasis"/>
          <w:rFonts w:ascii="Times New Roman;Times;serif" w:hAnsi="Times New Roman;Times;serif"/>
          <w:sz w:val="20"/>
        </w:rPr>
        <w:t xml:space="preserve">December 31, 2025, </w:t>
      </w:r>
      <w:r>
        <w:rPr>
          <w:rFonts w:ascii="Times New Roman;Times;serif" w:hAnsi="Times New Roman;Times;serif"/>
          <w:sz w:val="20"/>
        </w:rPr>
        <w:t>loans with carrying values of $88.6 million and $88.9 million were pledged to the Federal Reserve Bank of San Francisco Discount Window.</w:t>
      </w:r>
    </w:p>
    <w:p>
      <w:pPr>
        <w:pStyle w:val="TextBody"/>
        <w:bidi w:val="0"/>
        <w:spacing w:before="0" w:after="0"/>
        <w:ind w:left="0" w:right="0" w:firstLine="540"/>
        <w:jc w:val="left"/>
        <w:rPr/>
      </w:pPr>
      <w:r>
        <w:rPr/>
        <w:t> </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The following table presents a summary of the changes in the ACL for the periods indicated:</w:t>
      </w:r>
    </w:p>
    <w:p>
      <w:pPr>
        <w:pStyle w:val="TextBody"/>
        <w:bidi w:val="0"/>
        <w:spacing w:before="0" w:after="0"/>
        <w:ind w:left="160" w:right="0" w:hanging="180"/>
        <w:jc w:val="left"/>
        <w:rPr>
          <w:caps w:val="false"/>
          <w:smallCaps w:val="false"/>
        </w:rPr>
      </w:pPr>
      <w:r>
        <w:rPr>
          <w:caps w:val="false"/>
          <w:smallCaps w:val="false"/>
        </w:rPr>
        <w:t> </w:t>
      </w:r>
    </w:p>
    <w:tbl>
      <w:tblPr>
        <w:tblW w:w="10990" w:type="dxa"/>
        <w:jc w:val="left"/>
        <w:tblInd w:w="0" w:type="dxa"/>
        <w:tblLayout w:type="fixed"/>
        <w:tblCellMar>
          <w:top w:w="0" w:type="dxa"/>
          <w:left w:w="0" w:type="dxa"/>
          <w:bottom w:w="0" w:type="dxa"/>
          <w:right w:w="0" w:type="dxa"/>
        </w:tblCellMar>
      </w:tblPr>
      <w:tblGrid>
        <w:gridCol w:w="980"/>
        <w:gridCol w:w="60"/>
        <w:gridCol w:w="158"/>
        <w:gridCol w:w="747"/>
        <w:gridCol w:w="80"/>
        <w:gridCol w:w="60"/>
        <w:gridCol w:w="302"/>
        <w:gridCol w:w="813"/>
        <w:gridCol w:w="80"/>
        <w:gridCol w:w="60"/>
        <w:gridCol w:w="158"/>
        <w:gridCol w:w="747"/>
        <w:gridCol w:w="80"/>
        <w:gridCol w:w="60"/>
        <w:gridCol w:w="158"/>
        <w:gridCol w:w="747"/>
        <w:gridCol w:w="80"/>
        <w:gridCol w:w="60"/>
        <w:gridCol w:w="302"/>
        <w:gridCol w:w="813"/>
        <w:gridCol w:w="60"/>
        <w:gridCol w:w="60"/>
        <w:gridCol w:w="158"/>
        <w:gridCol w:w="747"/>
        <w:gridCol w:w="80"/>
        <w:gridCol w:w="60"/>
        <w:gridCol w:w="158"/>
        <w:gridCol w:w="747"/>
        <w:gridCol w:w="80"/>
        <w:gridCol w:w="60"/>
        <w:gridCol w:w="302"/>
        <w:gridCol w:w="813"/>
        <w:gridCol w:w="60"/>
        <w:gridCol w:w="60"/>
        <w:gridCol w:w="158"/>
        <w:gridCol w:w="747"/>
        <w:gridCol w:w="95"/>
      </w:tblGrid>
      <w:tr>
        <w:trPr/>
        <w:tc>
          <w:tcPr>
            <w:tcW w:w="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55" w:type="dxa"/>
            <w:gridSpan w:val="3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Three Months Ended</w:t>
            </w:r>
          </w:p>
        </w:tc>
        <w:tc>
          <w:tcPr>
            <w:tcW w:w="95" w:type="dxa"/>
            <w:tcBorders/>
            <w:shd w:fill="FFFFFF" w:val="clear"/>
            <w:vAlign w:val="center"/>
          </w:tcPr>
          <w:p>
            <w:pPr>
              <w:pStyle w:val="TableContents"/>
              <w:bidi w:val="0"/>
              <w:spacing w:before="0" w:after="283"/>
              <w:jc w:val="left"/>
              <w:rPr/>
            </w:pPr>
            <w:r>
              <w:rPr/>
              <w:t> </w:t>
            </w:r>
          </w:p>
        </w:tc>
      </w:tr>
      <w:tr>
        <w:trPr/>
        <w:tc>
          <w:tcPr>
            <w:tcW w:w="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0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18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 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18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2025</w:t>
            </w:r>
          </w:p>
        </w:tc>
        <w:tc>
          <w:tcPr>
            <w:tcW w:w="95" w:type="dxa"/>
            <w:tcBorders/>
            <w:shd w:fill="FFFFFF" w:val="clear"/>
            <w:vAlign w:val="center"/>
          </w:tcPr>
          <w:p>
            <w:pPr>
              <w:pStyle w:val="TableContents"/>
              <w:bidi w:val="0"/>
              <w:spacing w:before="0" w:after="283"/>
              <w:jc w:val="left"/>
              <w:rPr/>
            </w:pPr>
            <w:r>
              <w:rPr/>
              <w:t> </w:t>
            </w:r>
          </w:p>
        </w:tc>
      </w:tr>
      <w:tr>
        <w:trPr/>
        <w:tc>
          <w:tcPr>
            <w:tcW w:w="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Allowance for loan losses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Reserve for unfunded loan commitments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Allowance for credit losses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Allowance for loan losses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Reserve for unfunded loan commitments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Allowance for credit losses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Allowance for loan losses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Reserve for unfunded loan commitments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Allowance for credit losses</w:t>
            </w:r>
          </w:p>
        </w:tc>
        <w:tc>
          <w:tcPr>
            <w:tcW w:w="95" w:type="dxa"/>
            <w:tcBorders/>
            <w:shd w:fill="FFFFFF" w:val="clear"/>
            <w:vAlign w:val="center"/>
          </w:tcPr>
          <w:p>
            <w:pPr>
              <w:pStyle w:val="TableContents"/>
              <w:bidi w:val="0"/>
              <w:spacing w:before="0" w:after="283"/>
              <w:jc w:val="left"/>
              <w:rPr/>
            </w:pPr>
            <w:r>
              <w:rPr/>
              <w:t> </w:t>
            </w:r>
          </w:p>
        </w:tc>
      </w:tr>
      <w:tr>
        <w:trPr/>
        <w:tc>
          <w:tcPr>
            <w:tcW w:w="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55" w:type="dxa"/>
            <w:gridSpan w:val="34"/>
            <w:tcBorders/>
            <w:shd w:fill="FFFFFF" w:val="clear"/>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(dollars in thousands)</w:t>
            </w:r>
          </w:p>
        </w:tc>
        <w:tc>
          <w:tcPr>
            <w:tcW w:w="95" w:type="dxa"/>
            <w:tcBorders/>
            <w:shd w:fill="FFFFFF" w:val="clear"/>
            <w:vAlign w:val="center"/>
          </w:tcPr>
          <w:p>
            <w:pPr>
              <w:pStyle w:val="TableContents"/>
              <w:bidi w:val="0"/>
              <w:spacing w:before="0" w:after="283"/>
              <w:jc w:val="left"/>
              <w:rPr/>
            </w:pPr>
            <w:r>
              <w:rPr/>
              <w:t> </w:t>
            </w:r>
          </w:p>
        </w:tc>
      </w:tr>
      <w:tr>
        <w:trPr/>
        <w:tc>
          <w:tcPr>
            <w:tcW w:w="9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51,932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52,561</w:t>
            </w:r>
          </w:p>
        </w:tc>
        <w:tc>
          <w:tcPr>
            <w:tcW w:w="95" w:type="dxa"/>
            <w:tcBorders/>
            <w:shd w:fill="CCEEFF" w:val="clear"/>
            <w:vAlign w:val="center"/>
          </w:tcPr>
          <w:p>
            <w:pPr>
              <w:pStyle w:val="TableContents"/>
              <w:bidi w:val="0"/>
              <w:spacing w:before="0" w:after="283"/>
              <w:jc w:val="left"/>
              <w:rPr/>
            </w:pPr>
            <w:r>
              <w:rPr/>
              <w:t> </w:t>
            </w:r>
          </w:p>
        </w:tc>
      </w:tr>
      <w:tr>
        <w:trPr/>
        <w:tc>
          <w:tcPr>
            <w:tcW w:w="9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for/(reversal of) credit losses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7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ind w:left="0" w:right="0" w:hanging="0"/>
              <w:jc w:val="left"/>
              <w:rPr/>
            </w:pPr>
            <w:r>
              <w:rPr/>
              <w:t> </w:t>
            </w:r>
          </w:p>
        </w:tc>
        <w:tc>
          <w:tcPr>
            <w:tcW w:w="8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74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7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ind w:left="0" w:right="0" w:hanging="0"/>
              <w:jc w:val="left"/>
              <w:rPr/>
            </w:pPr>
            <w:r>
              <w:rPr/>
              <w:t> </w:t>
            </w:r>
          </w:p>
        </w:tc>
        <w:tc>
          <w:tcPr>
            <w:tcW w:w="81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7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7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ind w:left="0" w:right="0" w:hanging="0"/>
              <w:jc w:val="left"/>
              <w:rPr/>
            </w:pPr>
            <w:r>
              <w:rPr/>
              <w:t> </w:t>
            </w:r>
          </w:p>
        </w:tc>
        <w:tc>
          <w:tcPr>
            <w:tcW w:w="81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7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2,387</w:t>
            </w:r>
          </w:p>
        </w:tc>
        <w:tc>
          <w:tcPr>
            <w:tcW w:w="95" w:type="dxa"/>
            <w:tcBorders/>
            <w:shd w:fill="FFFFFF" w:val="clear"/>
            <w:vAlign w:val="center"/>
          </w:tcPr>
          <w:p>
            <w:pPr>
              <w:pStyle w:val="TableContents"/>
              <w:bidi w:val="0"/>
              <w:spacing w:before="0" w:after="283"/>
              <w:jc w:val="left"/>
              <w:rPr/>
            </w:pPr>
            <w:r>
              <w:rPr/>
              <w:t> </w:t>
            </w:r>
          </w:p>
        </w:tc>
      </w:tr>
      <w:tr>
        <w:trPr/>
        <w:tc>
          <w:tcPr>
            <w:tcW w:w="9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Charge-offs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ind w:left="0" w:right="0" w:hanging="0"/>
              <w:jc w:val="left"/>
              <w:rPr/>
            </w:pPr>
            <w:r>
              <w:rPr/>
              <w:t> </w:t>
            </w:r>
          </w:p>
        </w:tc>
        <w:tc>
          <w:tcPr>
            <w:tcW w:w="81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ind w:left="0" w:right="0" w:hanging="0"/>
              <w:jc w:val="left"/>
              <w:rPr/>
            </w:pPr>
            <w:r>
              <w:rPr/>
              <w:t> </w:t>
            </w:r>
          </w:p>
        </w:tc>
        <w:tc>
          <w:tcPr>
            <w:tcW w:w="81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ind w:left="0" w:right="0" w:hanging="0"/>
              <w:jc w:val="left"/>
              <w:rPr/>
            </w:pPr>
            <w:r>
              <w:rPr/>
              <w:t> </w:t>
            </w:r>
          </w:p>
        </w:tc>
        <w:tc>
          <w:tcPr>
            <w:tcW w:w="81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(3,339</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9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Recoveries</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95" w:type="dxa"/>
            <w:tcBorders/>
            <w:shd w:fill="FFFFFF" w:val="clear"/>
            <w:vAlign w:val="center"/>
          </w:tcPr>
          <w:p>
            <w:pPr>
              <w:pStyle w:val="TableContents"/>
              <w:bidi w:val="0"/>
              <w:spacing w:before="0" w:after="283"/>
              <w:jc w:val="left"/>
              <w:rPr/>
            </w:pPr>
            <w:r>
              <w:rPr/>
              <w:t> </w:t>
            </w:r>
          </w:p>
        </w:tc>
      </w:tr>
      <w:tr>
        <w:trPr/>
        <w:tc>
          <w:tcPr>
            <w:tcW w:w="9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Ending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51,014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51,643</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60" w:right="0" w:hanging="1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8"/>
        <w:gridCol w:w="60"/>
        <w:gridCol w:w="204"/>
        <w:gridCol w:w="966"/>
        <w:gridCol w:w="80"/>
        <w:gridCol w:w="60"/>
        <w:gridCol w:w="431"/>
        <w:gridCol w:w="1162"/>
        <w:gridCol w:w="80"/>
        <w:gridCol w:w="60"/>
        <w:gridCol w:w="208"/>
        <w:gridCol w:w="984"/>
        <w:gridCol w:w="80"/>
        <w:gridCol w:w="60"/>
        <w:gridCol w:w="204"/>
        <w:gridCol w:w="966"/>
        <w:gridCol w:w="80"/>
        <w:gridCol w:w="60"/>
        <w:gridCol w:w="383"/>
        <w:gridCol w:w="1211"/>
        <w:gridCol w:w="80"/>
        <w:gridCol w:w="60"/>
        <w:gridCol w:w="208"/>
        <w:gridCol w:w="984"/>
        <w:gridCol w:w="86"/>
      </w:tblGrid>
      <w:tr>
        <w:trPr/>
        <w:tc>
          <w:tcPr>
            <w:tcW w:w="14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11"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Six Months Ended June 30,</w:t>
            </w:r>
          </w:p>
        </w:tc>
        <w:tc>
          <w:tcPr>
            <w:tcW w:w="86" w:type="dxa"/>
            <w:tcBorders/>
            <w:shd w:fill="FFFFFF" w:val="clear"/>
            <w:vAlign w:val="center"/>
          </w:tcPr>
          <w:p>
            <w:pPr>
              <w:pStyle w:val="TableContents"/>
              <w:bidi w:val="0"/>
              <w:spacing w:before="0" w:after="283"/>
              <w:jc w:val="left"/>
              <w:rPr/>
            </w:pPr>
            <w:r>
              <w:rPr/>
              <w:t> </w:t>
            </w:r>
          </w:p>
        </w:tc>
      </w:tr>
      <w:tr>
        <w:trPr/>
        <w:tc>
          <w:tcPr>
            <w:tcW w:w="14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3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36"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6" w:type="dxa"/>
            <w:tcBorders/>
            <w:shd w:fill="FFFFFF" w:val="clear"/>
            <w:vAlign w:val="center"/>
          </w:tcPr>
          <w:p>
            <w:pPr>
              <w:pStyle w:val="TableContents"/>
              <w:bidi w:val="0"/>
              <w:spacing w:before="0" w:after="283"/>
              <w:jc w:val="left"/>
              <w:rPr/>
            </w:pPr>
            <w:r>
              <w:rPr/>
              <w:t> </w:t>
            </w:r>
          </w:p>
        </w:tc>
      </w:tr>
      <w:tr>
        <w:trPr/>
        <w:tc>
          <w:tcPr>
            <w:tcW w:w="14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Allowance for loan losses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Reserve for unfunded loan commitments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9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Allowance for credit losses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Allowance for loan losses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Reserve for unfunded loan commitments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9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Allowance for credit losses</w:t>
            </w:r>
          </w:p>
        </w:tc>
        <w:tc>
          <w:tcPr>
            <w:tcW w:w="86" w:type="dxa"/>
            <w:tcBorders/>
            <w:shd w:fill="FFFFFF" w:val="clear"/>
            <w:vAlign w:val="center"/>
          </w:tcPr>
          <w:p>
            <w:pPr>
              <w:pStyle w:val="TableContents"/>
              <w:bidi w:val="0"/>
              <w:spacing w:before="0" w:after="283"/>
              <w:jc w:val="left"/>
              <w:rPr/>
            </w:pPr>
            <w:r>
              <w:rPr/>
              <w:t> </w:t>
            </w:r>
          </w:p>
        </w:tc>
      </w:tr>
      <w:tr>
        <w:trPr/>
        <w:tc>
          <w:tcPr>
            <w:tcW w:w="14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11" w:type="dxa"/>
            <w:gridSpan w:val="22"/>
            <w:tcBorders/>
            <w:shd w:fill="FFFFFF" w:val="clear"/>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(dollars in thousands)</w:t>
            </w:r>
          </w:p>
        </w:tc>
        <w:tc>
          <w:tcPr>
            <w:tcW w:w="86" w:type="dxa"/>
            <w:tcBorders/>
            <w:shd w:fill="FFFFFF" w:val="clear"/>
            <w:vAlign w:val="center"/>
          </w:tcPr>
          <w:p>
            <w:pPr>
              <w:pStyle w:val="TableContents"/>
              <w:bidi w:val="0"/>
              <w:spacing w:before="0" w:after="283"/>
              <w:jc w:val="left"/>
              <w:rPr/>
            </w:pPr>
            <w:r>
              <w:rPr/>
              <w:t> </w:t>
            </w:r>
          </w:p>
        </w:tc>
      </w:tr>
      <w:tr>
        <w:trPr/>
        <w:tc>
          <w:tcPr>
            <w:tcW w:w="144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48,458</w:t>
            </w:r>
          </w:p>
        </w:tc>
        <w:tc>
          <w:tcPr>
            <w:tcW w:w="86" w:type="dxa"/>
            <w:tcBorders/>
            <w:shd w:fill="CCEEFF" w:val="clear"/>
            <w:vAlign w:val="center"/>
          </w:tcPr>
          <w:p>
            <w:pPr>
              <w:pStyle w:val="TableContents"/>
              <w:bidi w:val="0"/>
              <w:spacing w:before="0" w:after="283"/>
              <w:jc w:val="left"/>
              <w:rPr/>
            </w:pPr>
            <w:r>
              <w:rPr/>
              <w:t> </w:t>
            </w:r>
          </w:p>
        </w:tc>
      </w:tr>
      <w:tr>
        <w:trPr/>
        <w:tc>
          <w:tcPr>
            <w:tcW w:w="144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(Reversal of)/provision for credit losses</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431" w:type="dxa"/>
            <w:tcBorders/>
            <w:shd w:fill="FFFFFF" w:val="clear"/>
            <w:vAlign w:val="center"/>
          </w:tcPr>
          <w:p>
            <w:pPr>
              <w:pStyle w:val="TableContents"/>
              <w:bidi w:val="0"/>
              <w:spacing w:before="0" w:after="283"/>
              <w:ind w:left="0" w:right="0" w:hanging="0"/>
              <w:jc w:val="left"/>
              <w:rPr/>
            </w:pPr>
            <w:r>
              <w:rPr/>
              <w:t> </w:t>
            </w:r>
          </w:p>
        </w:tc>
        <w:tc>
          <w:tcPr>
            <w:tcW w:w="11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ind w:left="0" w:right="0" w:hanging="0"/>
              <w:jc w:val="left"/>
              <w:rPr/>
            </w:pPr>
            <w:r>
              <w:rPr/>
              <w:t> </w:t>
            </w:r>
          </w:p>
        </w:tc>
        <w:tc>
          <w:tcPr>
            <w:tcW w:w="12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9,133</w:t>
            </w:r>
          </w:p>
        </w:tc>
        <w:tc>
          <w:tcPr>
            <w:tcW w:w="86" w:type="dxa"/>
            <w:tcBorders/>
            <w:shd w:fill="FFFFFF" w:val="clear"/>
            <w:vAlign w:val="center"/>
          </w:tcPr>
          <w:p>
            <w:pPr>
              <w:pStyle w:val="TableContents"/>
              <w:bidi w:val="0"/>
              <w:spacing w:before="0" w:after="283"/>
              <w:jc w:val="left"/>
              <w:rPr/>
            </w:pPr>
            <w:r>
              <w:rPr/>
              <w:t> </w:t>
            </w:r>
          </w:p>
        </w:tc>
      </w:tr>
      <w:tr>
        <w:trPr/>
        <w:tc>
          <w:tcPr>
            <w:tcW w:w="144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Charge-offs</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431" w:type="dxa"/>
            <w:tcBorders/>
            <w:shd w:fill="CCEEFF" w:val="clear"/>
            <w:vAlign w:val="center"/>
          </w:tcPr>
          <w:p>
            <w:pPr>
              <w:pStyle w:val="TableContents"/>
              <w:bidi w:val="0"/>
              <w:spacing w:before="0" w:after="283"/>
              <w:ind w:left="0" w:right="0" w:hanging="0"/>
              <w:jc w:val="left"/>
              <w:rPr/>
            </w:pPr>
            <w:r>
              <w:rPr/>
              <w:t> </w:t>
            </w:r>
          </w:p>
        </w:tc>
        <w:tc>
          <w:tcPr>
            <w:tcW w:w="116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(6,066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83" w:type="dxa"/>
            <w:tcBorders/>
            <w:shd w:fill="CCEEFF" w:val="clear"/>
            <w:vAlign w:val="center"/>
          </w:tcPr>
          <w:p>
            <w:pPr>
              <w:pStyle w:val="TableContents"/>
              <w:bidi w:val="0"/>
              <w:spacing w:before="0" w:after="283"/>
              <w:ind w:left="0" w:right="0" w:hanging="0"/>
              <w:jc w:val="left"/>
              <w:rPr/>
            </w:pPr>
            <w:r>
              <w:rPr/>
              <w:t> </w:t>
            </w:r>
          </w:p>
        </w:tc>
        <w:tc>
          <w:tcPr>
            <w:tcW w:w="121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(6,066</w:t>
            </w:r>
          </w:p>
        </w:tc>
        <w:tc>
          <w:tcPr>
            <w:tcW w:w="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44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Recoveries</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w:t>
            </w:r>
          </w:p>
        </w:tc>
        <w:tc>
          <w:tcPr>
            <w:tcW w:w="86" w:type="dxa"/>
            <w:tcBorders/>
            <w:shd w:fill="FFFFFF" w:val="clear"/>
            <w:vAlign w:val="center"/>
          </w:tcPr>
          <w:p>
            <w:pPr>
              <w:pStyle w:val="TableContents"/>
              <w:bidi w:val="0"/>
              <w:spacing w:before="0" w:after="283"/>
              <w:jc w:val="left"/>
              <w:rPr/>
            </w:pPr>
            <w:r>
              <w:rPr/>
              <w:t> </w:t>
            </w:r>
          </w:p>
        </w:tc>
      </w:tr>
      <w:tr>
        <w:trPr/>
        <w:tc>
          <w:tcPr>
            <w:tcW w:w="144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Ending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51,014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1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51,643</w:t>
            </w:r>
          </w:p>
        </w:tc>
        <w:tc>
          <w:tcPr>
            <w:tcW w:w="8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following tables present the balance and activity related to the allowance for loan losses (“ALL”) for loans HFI by loan portfolio segment and class for the periods presented.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05"/>
        <w:gridCol w:w="60"/>
        <w:gridCol w:w="288"/>
        <w:gridCol w:w="1369"/>
        <w:gridCol w:w="80"/>
        <w:gridCol w:w="60"/>
        <w:gridCol w:w="225"/>
        <w:gridCol w:w="1071"/>
        <w:gridCol w:w="80"/>
        <w:gridCol w:w="60"/>
        <w:gridCol w:w="334"/>
        <w:gridCol w:w="1302"/>
        <w:gridCol w:w="60"/>
        <w:gridCol w:w="60"/>
        <w:gridCol w:w="284"/>
        <w:gridCol w:w="1103"/>
        <w:gridCol w:w="80"/>
        <w:gridCol w:w="60"/>
        <w:gridCol w:w="125"/>
        <w:gridCol w:w="335"/>
        <w:gridCol w:w="80"/>
        <w:gridCol w:w="60"/>
        <w:gridCol w:w="131"/>
        <w:gridCol w:w="354"/>
        <w:gridCol w:w="80"/>
        <w:gridCol w:w="60"/>
        <w:gridCol w:w="125"/>
        <w:gridCol w:w="590"/>
        <w:gridCol w:w="84"/>
      </w:tblGrid>
      <w:tr>
        <w:trPr/>
        <w:tc>
          <w:tcPr>
            <w:tcW w:w="1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6" w:type="dxa"/>
            <w:gridSpan w:val="2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Three Months Ended June 30, 2026</w:t>
            </w:r>
          </w:p>
        </w:tc>
        <w:tc>
          <w:tcPr>
            <w:tcW w:w="84" w:type="dxa"/>
            <w:tcBorders/>
            <w:shd w:fill="FFFFFF" w:val="clear"/>
            <w:vAlign w:val="center"/>
          </w:tcPr>
          <w:p>
            <w:pPr>
              <w:pStyle w:val="TableContents"/>
              <w:bidi w:val="0"/>
              <w:spacing w:before="0" w:after="283"/>
              <w:ind w:left="0" w:right="0" w:hanging="0"/>
              <w:jc w:val="left"/>
              <w:rPr/>
            </w:pPr>
            <w:r>
              <w:rPr/>
              <w:t> </w:t>
            </w:r>
          </w:p>
        </w:tc>
      </w:tr>
      <w:tr>
        <w:trPr/>
        <w:tc>
          <w:tcPr>
            <w:tcW w:w="160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Single-family residential mortgages</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9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Commercial real estate</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Construction and land development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Commercial and industrial</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SBA</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Other</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Total</w:t>
            </w:r>
          </w:p>
        </w:tc>
        <w:tc>
          <w:tcPr>
            <w:tcW w:w="84" w:type="dxa"/>
            <w:tcBorders/>
            <w:shd w:fill="FFFFFF" w:val="clear"/>
            <w:vAlign w:val="center"/>
          </w:tcPr>
          <w:p>
            <w:pPr>
              <w:pStyle w:val="TableContents"/>
              <w:bidi w:val="0"/>
              <w:spacing w:before="0" w:after="0"/>
              <w:jc w:val="left"/>
              <w:rPr/>
            </w:pPr>
            <w:r>
              <w:rPr/>
              <w:t> </w:t>
            </w:r>
          </w:p>
        </w:tc>
      </w:tr>
      <w:tr>
        <w:trPr/>
        <w:tc>
          <w:tcPr>
            <w:tcW w:w="160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Allowance for loan losses:</w:t>
            </w:r>
          </w:p>
        </w:tc>
        <w:tc>
          <w:tcPr>
            <w:tcW w:w="60" w:type="dxa"/>
            <w:tcBorders/>
            <w:shd w:fill="FFFFFF" w:val="clear"/>
            <w:vAlign w:val="center"/>
          </w:tcPr>
          <w:p>
            <w:pPr>
              <w:pStyle w:val="TableContents"/>
              <w:bidi w:val="0"/>
              <w:spacing w:before="0" w:after="283"/>
              <w:ind w:left="0" w:right="0" w:hanging="0"/>
              <w:jc w:val="left"/>
              <w:rPr/>
            </w:pPr>
            <w:r>
              <w:rPr/>
              <w:t> </w:t>
            </w:r>
          </w:p>
        </w:tc>
        <w:tc>
          <w:tcPr>
            <w:tcW w:w="8456" w:type="dxa"/>
            <w:gridSpan w:val="2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i/>
                <w:caps w:val="false"/>
                <w:smallCaps w:val="false"/>
                <w:sz w:val="20"/>
              </w:rPr>
              <w:t>(dollars in thousands)</w:t>
            </w:r>
          </w:p>
        </w:tc>
        <w:tc>
          <w:tcPr>
            <w:tcW w:w="84" w:type="dxa"/>
            <w:tcBorders/>
            <w:shd w:fill="FFFFFF" w:val="clear"/>
            <w:vAlign w:val="center"/>
          </w:tcPr>
          <w:p>
            <w:pPr>
              <w:pStyle w:val="TableContents"/>
              <w:bidi w:val="0"/>
              <w:spacing w:before="0" w:after="283"/>
              <w:jc w:val="left"/>
              <w:rPr/>
            </w:pPr>
            <w:r>
              <w:rPr/>
              <w:t> </w:t>
            </w:r>
          </w:p>
        </w:tc>
      </w:tr>
      <w:tr>
        <w:trPr/>
        <w:tc>
          <w:tcPr>
            <w:tcW w:w="16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2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43,666</w:t>
            </w:r>
          </w:p>
        </w:tc>
        <w:tc>
          <w:tcPr>
            <w:tcW w:w="84" w:type="dxa"/>
            <w:tcBorders/>
            <w:shd w:fill="CCEEFF" w:val="clear"/>
            <w:vAlign w:val="center"/>
          </w:tcPr>
          <w:p>
            <w:pPr>
              <w:pStyle w:val="TableContents"/>
              <w:bidi w:val="0"/>
              <w:spacing w:before="0" w:after="283"/>
              <w:jc w:val="left"/>
              <w:rPr/>
            </w:pPr>
            <w:r>
              <w:rPr/>
              <w:t> </w:t>
            </w:r>
          </w:p>
        </w:tc>
      </w:tr>
      <w:tr>
        <w:trPr/>
        <w:tc>
          <w:tcPr>
            <w:tcW w:w="16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(Reversal of)/provision for credit losses</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ind w:left="0" w:right="0" w:hanging="0"/>
              <w:jc w:val="left"/>
              <w:rPr/>
            </w:pPr>
            <w:r>
              <w:rPr/>
              <w:t> </w:t>
            </w:r>
          </w:p>
        </w:tc>
        <w:tc>
          <w:tcPr>
            <w:tcW w:w="13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ind w:left="0" w:right="0" w:hanging="0"/>
              <w:jc w:val="left"/>
              <w:rPr/>
            </w:pPr>
            <w:r>
              <w:rPr/>
              <w:t> </w:t>
            </w:r>
          </w:p>
        </w:tc>
        <w:tc>
          <w:tcPr>
            <w:tcW w:w="10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ind w:left="0" w:right="0" w:hanging="0"/>
              <w:jc w:val="left"/>
              <w:rPr/>
            </w:pPr>
            <w:r>
              <w:rPr/>
              <w:t> </w:t>
            </w:r>
          </w:p>
        </w:tc>
        <w:tc>
          <w:tcPr>
            <w:tcW w:w="13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ind w:left="0" w:right="0" w:hanging="0"/>
              <w:jc w:val="left"/>
              <w:rPr/>
            </w:pPr>
            <w:r>
              <w:rPr/>
              <w:t> </w:t>
            </w:r>
          </w:p>
        </w:tc>
        <w:tc>
          <w:tcPr>
            <w:tcW w:w="11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3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w:t>
            </w:r>
          </w:p>
        </w:tc>
        <w:tc>
          <w:tcPr>
            <w:tcW w:w="84" w:type="dxa"/>
            <w:tcBorders/>
            <w:shd w:fill="FFFFFF" w:val="clear"/>
            <w:vAlign w:val="center"/>
          </w:tcPr>
          <w:p>
            <w:pPr>
              <w:pStyle w:val="TableContents"/>
              <w:bidi w:val="0"/>
              <w:spacing w:before="0" w:after="283"/>
              <w:jc w:val="left"/>
              <w:rPr/>
            </w:pPr>
            <w:r>
              <w:rPr/>
              <w:t> </w:t>
            </w:r>
          </w:p>
        </w:tc>
      </w:tr>
      <w:tr>
        <w:trPr/>
        <w:tc>
          <w:tcPr>
            <w:tcW w:w="16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Charge-offs</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ind w:left="0" w:right="0" w:hanging="0"/>
              <w:jc w:val="left"/>
              <w:rPr/>
            </w:pPr>
            <w:r>
              <w:rPr/>
              <w:t> </w:t>
            </w:r>
          </w:p>
        </w:tc>
        <w:tc>
          <w:tcPr>
            <w:tcW w:w="136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ind w:left="0" w:right="0" w:hanging="0"/>
              <w:jc w:val="left"/>
              <w:rPr/>
            </w:pPr>
            <w:r>
              <w:rPr/>
              <w:t> </w:t>
            </w:r>
          </w:p>
        </w:tc>
        <w:tc>
          <w:tcPr>
            <w:tcW w:w="107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ind w:left="0" w:right="0" w:hanging="0"/>
              <w:jc w:val="left"/>
              <w:rPr/>
            </w:pPr>
            <w:r>
              <w:rPr/>
              <w:t> </w:t>
            </w:r>
          </w:p>
        </w:tc>
        <w:tc>
          <w:tcPr>
            <w:tcW w:w="130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ind w:left="0" w:right="0" w:hanging="0"/>
              <w:jc w:val="left"/>
              <w:rPr/>
            </w:pPr>
            <w:r>
              <w:rPr/>
              <w:t> </w:t>
            </w:r>
          </w:p>
        </w:tc>
        <w:tc>
          <w:tcPr>
            <w:tcW w:w="11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3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w:t>
            </w:r>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6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Recoveries</w:t>
            </w:r>
          </w:p>
        </w:tc>
        <w:tc>
          <w:tcPr>
            <w:tcW w:w="60" w:type="dxa"/>
            <w:tcBorders/>
            <w:shd w:fill="FFFFFF" w:val="clear"/>
            <w:vAlign w:val="center"/>
          </w:tcPr>
          <w:p>
            <w:pPr>
              <w:pStyle w:val="TableContents"/>
              <w:bidi w:val="0"/>
              <w:spacing w:before="0" w:after="283"/>
              <w:jc w:val="left"/>
              <w:rPr/>
            </w:pPr>
            <w:r>
              <w:rPr/>
              <w:t> </w:t>
            </w:r>
          </w:p>
        </w:tc>
        <w:tc>
          <w:tcPr>
            <w:tcW w:w="2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84" w:type="dxa"/>
            <w:tcBorders/>
            <w:shd w:fill="FFFFFF" w:val="clear"/>
            <w:vAlign w:val="center"/>
          </w:tcPr>
          <w:p>
            <w:pPr>
              <w:pStyle w:val="TableContents"/>
              <w:bidi w:val="0"/>
              <w:spacing w:before="0" w:after="283"/>
              <w:jc w:val="left"/>
              <w:rPr/>
            </w:pPr>
            <w:r>
              <w:rPr/>
              <w:t> </w:t>
            </w:r>
          </w:p>
        </w:tc>
      </w:tr>
      <w:tr>
        <w:trPr/>
        <w:tc>
          <w:tcPr>
            <w:tcW w:w="16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Ending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2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0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43,660</w:t>
            </w:r>
          </w:p>
        </w:tc>
        <w:tc>
          <w:tcPr>
            <w:tcW w:w="8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84"/>
        <w:gridCol w:w="60"/>
        <w:gridCol w:w="284"/>
        <w:gridCol w:w="1348"/>
        <w:gridCol w:w="60"/>
        <w:gridCol w:w="60"/>
        <w:gridCol w:w="223"/>
        <w:gridCol w:w="1061"/>
        <w:gridCol w:w="80"/>
        <w:gridCol w:w="60"/>
        <w:gridCol w:w="329"/>
        <w:gridCol w:w="1281"/>
        <w:gridCol w:w="80"/>
        <w:gridCol w:w="60"/>
        <w:gridCol w:w="280"/>
        <w:gridCol w:w="1090"/>
        <w:gridCol w:w="80"/>
        <w:gridCol w:w="60"/>
        <w:gridCol w:w="125"/>
        <w:gridCol w:w="335"/>
        <w:gridCol w:w="80"/>
        <w:gridCol w:w="60"/>
        <w:gridCol w:w="131"/>
        <w:gridCol w:w="354"/>
        <w:gridCol w:w="80"/>
        <w:gridCol w:w="60"/>
        <w:gridCol w:w="125"/>
        <w:gridCol w:w="590"/>
        <w:gridCol w:w="85"/>
      </w:tblGrid>
      <w:tr>
        <w:trPr/>
        <w:tc>
          <w:tcPr>
            <w:tcW w:w="16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76" w:type="dxa"/>
            <w:gridSpan w:val="2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Three Months Ended March 31, 2026</w:t>
            </w:r>
          </w:p>
        </w:tc>
        <w:tc>
          <w:tcPr>
            <w:tcW w:w="85" w:type="dxa"/>
            <w:tcBorders/>
            <w:shd w:fill="FFFFFF" w:val="clear"/>
            <w:vAlign w:val="center"/>
          </w:tcPr>
          <w:p>
            <w:pPr>
              <w:pStyle w:val="TableContents"/>
              <w:bidi w:val="0"/>
              <w:spacing w:before="0" w:after="283"/>
              <w:jc w:val="left"/>
              <w:rPr/>
            </w:pPr>
            <w:r>
              <w:rPr/>
              <w:t> </w:t>
            </w:r>
          </w:p>
        </w:tc>
      </w:tr>
      <w:tr>
        <w:trPr/>
        <w:tc>
          <w:tcPr>
            <w:tcW w:w="16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Single-family residential mortgages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Commercial real estate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Construction and land development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Commercial and industrial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SBA</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85" w:type="dxa"/>
            <w:tcBorders/>
            <w:shd w:fill="FFFFFF" w:val="clear"/>
            <w:vAlign w:val="center"/>
          </w:tcPr>
          <w:p>
            <w:pPr>
              <w:pStyle w:val="TableContents"/>
              <w:bidi w:val="0"/>
              <w:spacing w:before="0" w:after="283"/>
              <w:jc w:val="left"/>
              <w:rPr/>
            </w:pPr>
            <w:r>
              <w:rPr/>
              <w:t> </w:t>
            </w:r>
          </w:p>
        </w:tc>
      </w:tr>
      <w:tr>
        <w:trPr/>
        <w:tc>
          <w:tcPr>
            <w:tcW w:w="168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Allowance for loan losses:</w:t>
            </w:r>
          </w:p>
        </w:tc>
        <w:tc>
          <w:tcPr>
            <w:tcW w:w="60" w:type="dxa"/>
            <w:tcBorders/>
            <w:shd w:fill="FFFFFF" w:val="clear"/>
            <w:vAlign w:val="center"/>
          </w:tcPr>
          <w:p>
            <w:pPr>
              <w:pStyle w:val="TableContents"/>
              <w:bidi w:val="0"/>
              <w:spacing w:before="0" w:after="283"/>
              <w:ind w:left="0" w:right="0" w:hanging="0"/>
              <w:jc w:val="left"/>
              <w:rPr/>
            </w:pPr>
            <w:r>
              <w:rPr/>
              <w:t> </w:t>
            </w:r>
          </w:p>
        </w:tc>
        <w:tc>
          <w:tcPr>
            <w:tcW w:w="8376" w:type="dxa"/>
            <w:gridSpan w:val="2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i/>
                <w:caps w:val="false"/>
                <w:smallCaps w:val="false"/>
                <w:sz w:val="20"/>
              </w:rPr>
              <w:t>(dollars in thousands)</w:t>
            </w:r>
          </w:p>
        </w:tc>
        <w:tc>
          <w:tcPr>
            <w:tcW w:w="85" w:type="dxa"/>
            <w:tcBorders/>
            <w:shd w:fill="FFFFFF" w:val="clear"/>
            <w:vAlign w:val="center"/>
          </w:tcPr>
          <w:p>
            <w:pPr>
              <w:pStyle w:val="TableContents"/>
              <w:bidi w:val="0"/>
              <w:spacing w:before="0" w:after="283"/>
              <w:jc w:val="left"/>
              <w:rPr/>
            </w:pPr>
            <w:r>
              <w:rPr/>
              <w:t> </w:t>
            </w:r>
          </w:p>
        </w:tc>
      </w:tr>
      <w:tr>
        <w:trPr/>
        <w:tc>
          <w:tcPr>
            <w:tcW w:w="1684"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28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43,888</w:t>
            </w:r>
          </w:p>
        </w:tc>
        <w:tc>
          <w:tcPr>
            <w:tcW w:w="85" w:type="dxa"/>
            <w:tcBorders/>
            <w:shd w:fill="CCEEFF" w:val="clear"/>
            <w:vAlign w:val="center"/>
          </w:tcPr>
          <w:p>
            <w:pPr>
              <w:pStyle w:val="TableContents"/>
              <w:bidi w:val="0"/>
              <w:spacing w:before="0" w:after="283"/>
              <w:jc w:val="left"/>
              <w:rPr/>
            </w:pPr>
            <w:r>
              <w:rPr/>
              <w:t> </w:t>
            </w:r>
          </w:p>
        </w:tc>
      </w:tr>
      <w:tr>
        <w:trPr/>
        <w:tc>
          <w:tcPr>
            <w:tcW w:w="168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for/(reversal of) credit losses</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ind w:left="0" w:right="0" w:hanging="0"/>
              <w:jc w:val="left"/>
              <w:rPr/>
            </w:pPr>
            <w:r>
              <w:rPr/>
              <w:t> </w:t>
            </w:r>
          </w:p>
        </w:tc>
        <w:tc>
          <w:tcPr>
            <w:tcW w:w="13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ind w:left="0" w:right="0" w:hanging="0"/>
              <w:jc w:val="left"/>
              <w:rPr/>
            </w:pPr>
            <w:r>
              <w:rPr/>
              <w:t> </w:t>
            </w:r>
          </w:p>
        </w:tc>
        <w:tc>
          <w:tcPr>
            <w:tcW w:w="10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ind w:left="0" w:right="0" w:hanging="0"/>
              <w:jc w:val="left"/>
              <w:rPr/>
            </w:pPr>
            <w:r>
              <w:rPr/>
              <w:t> </w:t>
            </w:r>
          </w:p>
        </w:tc>
        <w:tc>
          <w:tcPr>
            <w:tcW w:w="12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0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3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w:t>
            </w:r>
          </w:p>
        </w:tc>
        <w:tc>
          <w:tcPr>
            <w:tcW w:w="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684"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Charge-offs</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ind w:left="0" w:right="0" w:hanging="0"/>
              <w:jc w:val="left"/>
              <w:rPr/>
            </w:pPr>
            <w:r>
              <w:rPr/>
              <w:t> </w:t>
            </w:r>
          </w:p>
        </w:tc>
        <w:tc>
          <w:tcPr>
            <w:tcW w:w="134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ind w:left="0" w:right="0" w:hanging="0"/>
              <w:jc w:val="left"/>
              <w:rPr/>
            </w:pPr>
            <w:r>
              <w:rPr/>
              <w:t> </w:t>
            </w:r>
          </w:p>
        </w:tc>
        <w:tc>
          <w:tcPr>
            <w:tcW w:w="106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ind w:left="0" w:right="0" w:hanging="0"/>
              <w:jc w:val="left"/>
              <w:rPr/>
            </w:pPr>
            <w:r>
              <w:rPr/>
              <w:t> </w:t>
            </w:r>
          </w:p>
        </w:tc>
        <w:tc>
          <w:tcPr>
            <w:tcW w:w="128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0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3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684"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Recoveries</w:t>
            </w:r>
          </w:p>
        </w:tc>
        <w:tc>
          <w:tcPr>
            <w:tcW w:w="60" w:type="dxa"/>
            <w:tcBorders/>
            <w:shd w:fill="FFFFFF" w:val="clear"/>
            <w:vAlign w:val="center"/>
          </w:tcPr>
          <w:p>
            <w:pPr>
              <w:pStyle w:val="TableContents"/>
              <w:bidi w:val="0"/>
              <w:spacing w:before="0" w:after="283"/>
              <w:jc w:val="left"/>
              <w:rPr/>
            </w:pPr>
            <w:r>
              <w:rPr/>
              <w:t> </w:t>
            </w:r>
          </w:p>
        </w:tc>
        <w:tc>
          <w:tcPr>
            <w:tcW w:w="2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5" w:type="dxa"/>
            <w:tcBorders/>
            <w:shd w:fill="FFFFFF" w:val="clear"/>
            <w:vAlign w:val="center"/>
          </w:tcPr>
          <w:p>
            <w:pPr>
              <w:pStyle w:val="TableContents"/>
              <w:bidi w:val="0"/>
              <w:spacing w:before="0" w:after="283"/>
              <w:jc w:val="left"/>
              <w:rPr/>
            </w:pPr>
            <w:r>
              <w:rPr/>
              <w:t> </w:t>
            </w:r>
          </w:p>
        </w:tc>
      </w:tr>
      <w:tr>
        <w:trPr/>
        <w:tc>
          <w:tcPr>
            <w:tcW w:w="1684"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Ending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2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43,666</w:t>
            </w:r>
          </w:p>
        </w:tc>
        <w:tc>
          <w:tcPr>
            <w:tcW w:w="8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9"/>
        <w:gridCol w:w="60"/>
        <w:gridCol w:w="339"/>
        <w:gridCol w:w="1323"/>
        <w:gridCol w:w="60"/>
        <w:gridCol w:w="60"/>
        <w:gridCol w:w="226"/>
        <w:gridCol w:w="1073"/>
        <w:gridCol w:w="80"/>
        <w:gridCol w:w="60"/>
        <w:gridCol w:w="286"/>
        <w:gridCol w:w="1355"/>
        <w:gridCol w:w="80"/>
        <w:gridCol w:w="60"/>
        <w:gridCol w:w="284"/>
        <w:gridCol w:w="1106"/>
        <w:gridCol w:w="80"/>
        <w:gridCol w:w="60"/>
        <w:gridCol w:w="125"/>
        <w:gridCol w:w="335"/>
        <w:gridCol w:w="80"/>
        <w:gridCol w:w="60"/>
        <w:gridCol w:w="131"/>
        <w:gridCol w:w="354"/>
        <w:gridCol w:w="80"/>
        <w:gridCol w:w="60"/>
        <w:gridCol w:w="125"/>
        <w:gridCol w:w="590"/>
        <w:gridCol w:w="84"/>
      </w:tblGrid>
      <w:tr>
        <w:trPr/>
        <w:tc>
          <w:tcPr>
            <w:tcW w:w="158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72" w:type="dxa"/>
            <w:gridSpan w:val="2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Three Months Ended June 30, 2025</w:t>
            </w:r>
          </w:p>
        </w:tc>
        <w:tc>
          <w:tcPr>
            <w:tcW w:w="84" w:type="dxa"/>
            <w:tcBorders/>
            <w:shd w:fill="FFFFFF" w:val="clear"/>
            <w:vAlign w:val="center"/>
          </w:tcPr>
          <w:p>
            <w:pPr>
              <w:pStyle w:val="TableContents"/>
              <w:bidi w:val="0"/>
              <w:spacing w:before="0" w:after="283"/>
              <w:ind w:left="0" w:right="0" w:hanging="0"/>
              <w:jc w:val="left"/>
              <w:rPr/>
            </w:pPr>
            <w:r>
              <w:rPr/>
              <w:t> </w:t>
            </w:r>
          </w:p>
        </w:tc>
      </w:tr>
      <w:tr>
        <w:trPr/>
        <w:tc>
          <w:tcPr>
            <w:tcW w:w="1589"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6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Single-family residential mortgages</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Commercial real estate</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4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Construction and land development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Commercial and industrial</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SBA</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Other</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Total</w:t>
            </w:r>
          </w:p>
        </w:tc>
        <w:tc>
          <w:tcPr>
            <w:tcW w:w="84" w:type="dxa"/>
            <w:tcBorders/>
            <w:shd w:fill="FFFFFF" w:val="clear"/>
            <w:vAlign w:val="center"/>
          </w:tcPr>
          <w:p>
            <w:pPr>
              <w:pStyle w:val="TableContents"/>
              <w:bidi w:val="0"/>
              <w:spacing w:before="0" w:after="0"/>
              <w:jc w:val="left"/>
              <w:rPr/>
            </w:pPr>
            <w:r>
              <w:rPr/>
              <w:t> </w:t>
            </w:r>
          </w:p>
        </w:tc>
      </w:tr>
      <w:tr>
        <w:trPr/>
        <w:tc>
          <w:tcPr>
            <w:tcW w:w="158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Allowance for loan losses:</w:t>
            </w:r>
          </w:p>
        </w:tc>
        <w:tc>
          <w:tcPr>
            <w:tcW w:w="60" w:type="dxa"/>
            <w:tcBorders/>
            <w:shd w:fill="FFFFFF" w:val="clear"/>
            <w:vAlign w:val="center"/>
          </w:tcPr>
          <w:p>
            <w:pPr>
              <w:pStyle w:val="TableContents"/>
              <w:bidi w:val="0"/>
              <w:spacing w:before="0" w:after="283"/>
              <w:ind w:left="0" w:right="0" w:hanging="0"/>
              <w:jc w:val="left"/>
              <w:rPr/>
            </w:pPr>
            <w:r>
              <w:rPr/>
              <w:t> </w:t>
            </w:r>
          </w:p>
        </w:tc>
        <w:tc>
          <w:tcPr>
            <w:tcW w:w="8472" w:type="dxa"/>
            <w:gridSpan w:val="2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i/>
                <w:caps w:val="false"/>
                <w:smallCaps w:val="false"/>
                <w:sz w:val="20"/>
              </w:rPr>
              <w:t>(dollars in thousands)</w:t>
            </w:r>
          </w:p>
        </w:tc>
        <w:tc>
          <w:tcPr>
            <w:tcW w:w="84" w:type="dxa"/>
            <w:tcBorders/>
            <w:shd w:fill="FFFFFF" w:val="clear"/>
            <w:vAlign w:val="center"/>
          </w:tcPr>
          <w:p>
            <w:pPr>
              <w:pStyle w:val="TableContents"/>
              <w:bidi w:val="0"/>
              <w:spacing w:before="0" w:after="283"/>
              <w:jc w:val="left"/>
              <w:rPr/>
            </w:pPr>
            <w:r>
              <w:rPr/>
              <w:t> </w:t>
            </w:r>
          </w:p>
        </w:tc>
      </w:tr>
      <w:tr>
        <w:trPr/>
        <w:tc>
          <w:tcPr>
            <w:tcW w:w="158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3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51,932</w:t>
            </w:r>
          </w:p>
        </w:tc>
        <w:tc>
          <w:tcPr>
            <w:tcW w:w="84" w:type="dxa"/>
            <w:tcBorders/>
            <w:shd w:fill="CCEEFF" w:val="clear"/>
            <w:vAlign w:val="center"/>
          </w:tcPr>
          <w:p>
            <w:pPr>
              <w:pStyle w:val="TableContents"/>
              <w:bidi w:val="0"/>
              <w:spacing w:before="0" w:after="283"/>
              <w:jc w:val="left"/>
              <w:rPr/>
            </w:pPr>
            <w:r>
              <w:rPr/>
              <w:t> </w:t>
            </w:r>
          </w:p>
        </w:tc>
      </w:tr>
      <w:tr>
        <w:trPr/>
        <w:tc>
          <w:tcPr>
            <w:tcW w:w="158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for/(reversal of) credit losses</w:t>
            </w:r>
          </w:p>
        </w:tc>
        <w:tc>
          <w:tcPr>
            <w:tcW w:w="60"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ind w:left="0" w:right="0" w:hanging="0"/>
              <w:jc w:val="left"/>
              <w:rPr/>
            </w:pPr>
            <w:r>
              <w:rPr/>
              <w:t> </w:t>
            </w:r>
          </w:p>
        </w:tc>
        <w:tc>
          <w:tcPr>
            <w:tcW w:w="13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ind w:left="0" w:right="0" w:hanging="0"/>
              <w:jc w:val="left"/>
              <w:rPr/>
            </w:pPr>
            <w:r>
              <w:rPr/>
              <w:t> </w:t>
            </w:r>
          </w:p>
        </w:tc>
        <w:tc>
          <w:tcPr>
            <w:tcW w:w="10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ind w:left="0" w:right="0" w:hanging="0"/>
              <w:jc w:val="left"/>
              <w:rPr/>
            </w:pPr>
            <w:r>
              <w:rPr/>
              <w:t> </w:t>
            </w:r>
          </w:p>
        </w:tc>
        <w:tc>
          <w:tcPr>
            <w:tcW w:w="13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ind w:left="0" w:right="0" w:hanging="0"/>
              <w:jc w:val="left"/>
              <w:rPr/>
            </w:pPr>
            <w:r>
              <w:rPr/>
              <w:t> </w:t>
            </w:r>
          </w:p>
        </w:tc>
        <w:tc>
          <w:tcPr>
            <w:tcW w:w="11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3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2,387</w:t>
            </w:r>
          </w:p>
        </w:tc>
        <w:tc>
          <w:tcPr>
            <w:tcW w:w="84" w:type="dxa"/>
            <w:tcBorders/>
            <w:shd w:fill="FFFFFF" w:val="clear"/>
            <w:vAlign w:val="center"/>
          </w:tcPr>
          <w:p>
            <w:pPr>
              <w:pStyle w:val="TableContents"/>
              <w:bidi w:val="0"/>
              <w:spacing w:before="0" w:after="283"/>
              <w:jc w:val="left"/>
              <w:rPr/>
            </w:pPr>
            <w:r>
              <w:rPr/>
              <w:t> </w:t>
            </w:r>
          </w:p>
        </w:tc>
      </w:tr>
      <w:tr>
        <w:trPr/>
        <w:tc>
          <w:tcPr>
            <w:tcW w:w="158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Charge-offs</w:t>
            </w:r>
          </w:p>
        </w:tc>
        <w:tc>
          <w:tcPr>
            <w:tcW w:w="60" w:type="dxa"/>
            <w:tcBorders/>
            <w:shd w:fill="CCEEFF" w:val="clear"/>
            <w:vAlign w:val="center"/>
          </w:tcPr>
          <w:p>
            <w:pPr>
              <w:pStyle w:val="TableContents"/>
              <w:bidi w:val="0"/>
              <w:spacing w:before="0" w:after="283"/>
              <w:jc w:val="left"/>
              <w:rPr/>
            </w:pPr>
            <w:r>
              <w:rPr/>
              <w:t> </w:t>
            </w:r>
          </w:p>
        </w:tc>
        <w:tc>
          <w:tcPr>
            <w:tcW w:w="339" w:type="dxa"/>
            <w:tcBorders/>
            <w:shd w:fill="CCEEFF" w:val="clear"/>
            <w:vAlign w:val="center"/>
          </w:tcPr>
          <w:p>
            <w:pPr>
              <w:pStyle w:val="TableContents"/>
              <w:bidi w:val="0"/>
              <w:spacing w:before="0" w:after="283"/>
              <w:ind w:left="0" w:right="0" w:hanging="0"/>
              <w:jc w:val="left"/>
              <w:rPr/>
            </w:pPr>
            <w:r>
              <w:rPr/>
              <w:t> </w:t>
            </w:r>
          </w:p>
        </w:tc>
        <w:tc>
          <w:tcPr>
            <w:tcW w:w="132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ind w:left="0" w:right="0" w:hanging="0"/>
              <w:jc w:val="left"/>
              <w:rPr/>
            </w:pPr>
            <w:r>
              <w:rPr/>
              <w:t> </w:t>
            </w:r>
          </w:p>
        </w:tc>
        <w:tc>
          <w:tcPr>
            <w:tcW w:w="10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ind w:left="0" w:right="0" w:hanging="0"/>
              <w:jc w:val="left"/>
              <w:rPr/>
            </w:pPr>
            <w:r>
              <w:rPr/>
              <w:t> </w:t>
            </w:r>
          </w:p>
        </w:tc>
        <w:tc>
          <w:tcPr>
            <w:tcW w:w="13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ind w:left="0" w:right="0" w:hanging="0"/>
              <w:jc w:val="left"/>
              <w:rPr/>
            </w:pPr>
            <w:r>
              <w:rPr/>
              <w:t> </w:t>
            </w:r>
          </w:p>
        </w:tc>
        <w:tc>
          <w:tcPr>
            <w:tcW w:w="11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3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(3,339</w:t>
            </w:r>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8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Recoveries</w:t>
            </w:r>
          </w:p>
        </w:tc>
        <w:tc>
          <w:tcPr>
            <w:tcW w:w="60" w:type="dxa"/>
            <w:tcBorders/>
            <w:shd w:fill="FFFFFF" w:val="clear"/>
            <w:vAlign w:val="center"/>
          </w:tcPr>
          <w:p>
            <w:pPr>
              <w:pStyle w:val="TableContents"/>
              <w:bidi w:val="0"/>
              <w:spacing w:before="0" w:after="283"/>
              <w:jc w:val="left"/>
              <w:rPr/>
            </w:pPr>
            <w:r>
              <w:rPr/>
              <w:t> </w:t>
            </w:r>
          </w:p>
        </w:tc>
        <w:tc>
          <w:tcPr>
            <w:tcW w:w="3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84" w:type="dxa"/>
            <w:tcBorders/>
            <w:shd w:fill="FFFFFF" w:val="clear"/>
            <w:vAlign w:val="center"/>
          </w:tcPr>
          <w:p>
            <w:pPr>
              <w:pStyle w:val="TableContents"/>
              <w:bidi w:val="0"/>
              <w:spacing w:before="0" w:after="283"/>
              <w:jc w:val="left"/>
              <w:rPr/>
            </w:pPr>
            <w:r>
              <w:rPr/>
              <w:t> </w:t>
            </w:r>
          </w:p>
        </w:tc>
      </w:tr>
      <w:tr>
        <w:trPr/>
        <w:tc>
          <w:tcPr>
            <w:tcW w:w="158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Ending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3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51,014</w:t>
            </w:r>
          </w:p>
        </w:tc>
        <w:tc>
          <w:tcPr>
            <w:tcW w:w="8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9"/>
        <w:gridCol w:w="60"/>
        <w:gridCol w:w="280"/>
        <w:gridCol w:w="1331"/>
        <w:gridCol w:w="60"/>
        <w:gridCol w:w="60"/>
        <w:gridCol w:w="221"/>
        <w:gridCol w:w="1053"/>
        <w:gridCol w:w="80"/>
        <w:gridCol w:w="60"/>
        <w:gridCol w:w="325"/>
        <w:gridCol w:w="1264"/>
        <w:gridCol w:w="60"/>
        <w:gridCol w:w="60"/>
        <w:gridCol w:w="277"/>
        <w:gridCol w:w="1079"/>
        <w:gridCol w:w="80"/>
        <w:gridCol w:w="60"/>
        <w:gridCol w:w="125"/>
        <w:gridCol w:w="395"/>
        <w:gridCol w:w="80"/>
        <w:gridCol w:w="60"/>
        <w:gridCol w:w="131"/>
        <w:gridCol w:w="354"/>
        <w:gridCol w:w="80"/>
        <w:gridCol w:w="60"/>
        <w:gridCol w:w="125"/>
        <w:gridCol w:w="590"/>
        <w:gridCol w:w="86"/>
      </w:tblGrid>
      <w:tr>
        <w:trPr/>
        <w:tc>
          <w:tcPr>
            <w:tcW w:w="17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50" w:type="dxa"/>
            <w:gridSpan w:val="2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Six Months Ended June 30, 2026</w:t>
            </w:r>
          </w:p>
        </w:tc>
        <w:tc>
          <w:tcPr>
            <w:tcW w:w="86" w:type="dxa"/>
            <w:tcBorders/>
            <w:shd w:fill="FFFFFF" w:val="clear"/>
            <w:vAlign w:val="center"/>
          </w:tcPr>
          <w:p>
            <w:pPr>
              <w:pStyle w:val="TableContents"/>
              <w:bidi w:val="0"/>
              <w:spacing w:before="0" w:after="283"/>
              <w:jc w:val="left"/>
              <w:rPr/>
            </w:pPr>
            <w:r>
              <w:rPr/>
              <w:t> </w:t>
            </w:r>
          </w:p>
        </w:tc>
      </w:tr>
      <w:tr>
        <w:trPr/>
        <w:tc>
          <w:tcPr>
            <w:tcW w:w="17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1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Single-family residential mortgages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Commercial real estate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Construction and land development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Commercial and industrial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SBA</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86" w:type="dxa"/>
            <w:tcBorders/>
            <w:shd w:fill="FFFFFF" w:val="clear"/>
            <w:vAlign w:val="center"/>
          </w:tcPr>
          <w:p>
            <w:pPr>
              <w:pStyle w:val="TableContents"/>
              <w:bidi w:val="0"/>
              <w:spacing w:before="0" w:after="283"/>
              <w:jc w:val="left"/>
              <w:rPr/>
            </w:pPr>
            <w:r>
              <w:rPr/>
              <w:t> </w:t>
            </w:r>
          </w:p>
        </w:tc>
      </w:tr>
      <w:tr>
        <w:trPr/>
        <w:tc>
          <w:tcPr>
            <w:tcW w:w="170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Allowance for loan losses:</w:t>
            </w:r>
          </w:p>
        </w:tc>
        <w:tc>
          <w:tcPr>
            <w:tcW w:w="60" w:type="dxa"/>
            <w:tcBorders/>
            <w:shd w:fill="FFFFFF" w:val="clear"/>
            <w:vAlign w:val="center"/>
          </w:tcPr>
          <w:p>
            <w:pPr>
              <w:pStyle w:val="TableContents"/>
              <w:bidi w:val="0"/>
              <w:spacing w:before="0" w:after="283"/>
              <w:ind w:left="0" w:right="0" w:hanging="0"/>
              <w:jc w:val="left"/>
              <w:rPr/>
            </w:pPr>
            <w:r>
              <w:rPr/>
              <w:t> </w:t>
            </w:r>
          </w:p>
        </w:tc>
        <w:tc>
          <w:tcPr>
            <w:tcW w:w="8350" w:type="dxa"/>
            <w:gridSpan w:val="2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i/>
                <w:caps w:val="false"/>
                <w:smallCaps w:val="false"/>
                <w:sz w:val="20"/>
              </w:rPr>
              <w:t>(dollars in thousands)</w:t>
            </w:r>
          </w:p>
        </w:tc>
        <w:tc>
          <w:tcPr>
            <w:tcW w:w="86" w:type="dxa"/>
            <w:tcBorders/>
            <w:shd w:fill="FFFFFF" w:val="clear"/>
            <w:vAlign w:val="center"/>
          </w:tcPr>
          <w:p>
            <w:pPr>
              <w:pStyle w:val="TableContents"/>
              <w:bidi w:val="0"/>
              <w:spacing w:before="0" w:after="283"/>
              <w:jc w:val="left"/>
              <w:rPr/>
            </w:pPr>
            <w:r>
              <w:rPr/>
              <w:t> </w:t>
            </w:r>
          </w:p>
        </w:tc>
      </w:tr>
      <w:tr>
        <w:trPr/>
        <w:tc>
          <w:tcPr>
            <w:tcW w:w="1709"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43,888</w:t>
            </w:r>
          </w:p>
        </w:tc>
        <w:tc>
          <w:tcPr>
            <w:tcW w:w="86" w:type="dxa"/>
            <w:tcBorders/>
            <w:shd w:fill="CCEEFF" w:val="clear"/>
            <w:vAlign w:val="center"/>
          </w:tcPr>
          <w:p>
            <w:pPr>
              <w:pStyle w:val="TableContents"/>
              <w:bidi w:val="0"/>
              <w:spacing w:before="0" w:after="283"/>
              <w:jc w:val="left"/>
              <w:rPr/>
            </w:pPr>
            <w:r>
              <w:rPr/>
              <w:t> </w:t>
            </w:r>
          </w:p>
        </w:tc>
      </w:tr>
      <w:tr>
        <w:trPr/>
        <w:tc>
          <w:tcPr>
            <w:tcW w:w="1709"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for/(reversal of) credit losses</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ind w:left="0" w:right="0" w:hanging="0"/>
              <w:jc w:val="left"/>
              <w:rPr/>
            </w:pPr>
            <w:r>
              <w:rPr/>
              <w:t> </w:t>
            </w:r>
          </w:p>
        </w:tc>
        <w:tc>
          <w:tcPr>
            <w:tcW w:w="10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ind w:left="0" w:right="0" w:hanging="0"/>
              <w:jc w:val="left"/>
              <w:rPr/>
            </w:pPr>
            <w:r>
              <w:rPr/>
              <w:t> </w:t>
            </w:r>
          </w:p>
        </w:tc>
        <w:tc>
          <w:tcPr>
            <w:tcW w:w="12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ind w:left="0" w:right="0" w:hanging="0"/>
              <w:jc w:val="left"/>
              <w:rPr/>
            </w:pPr>
            <w:r>
              <w:rPr/>
              <w:t> </w:t>
            </w:r>
          </w:p>
        </w:tc>
        <w:tc>
          <w:tcPr>
            <w:tcW w:w="10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3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w:t>
            </w:r>
          </w:p>
        </w:tc>
        <w:tc>
          <w:tcPr>
            <w:tcW w:w="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09"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Charge-offs</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33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ind w:left="0" w:right="0" w:hanging="0"/>
              <w:jc w:val="left"/>
              <w:rPr/>
            </w:pPr>
            <w:r>
              <w:rPr/>
              <w:t> </w:t>
            </w:r>
          </w:p>
        </w:tc>
        <w:tc>
          <w:tcPr>
            <w:tcW w:w="105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ind w:left="0" w:right="0" w:hanging="0"/>
              <w:jc w:val="left"/>
              <w:rPr/>
            </w:pPr>
            <w:r>
              <w:rPr/>
              <w:t> </w:t>
            </w:r>
          </w:p>
        </w:tc>
        <w:tc>
          <w:tcPr>
            <w:tcW w:w="126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ind w:left="0" w:right="0" w:hanging="0"/>
              <w:jc w:val="left"/>
              <w:rPr/>
            </w:pPr>
            <w:r>
              <w:rPr/>
              <w:t> </w:t>
            </w:r>
          </w:p>
        </w:tc>
        <w:tc>
          <w:tcPr>
            <w:tcW w:w="10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3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w:t>
            </w:r>
          </w:p>
        </w:tc>
        <w:tc>
          <w:tcPr>
            <w:tcW w:w="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09"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Recoveries</w:t>
            </w:r>
          </w:p>
        </w:tc>
        <w:tc>
          <w:tcPr>
            <w:tcW w:w="60" w:type="dxa"/>
            <w:tcBorders/>
            <w:shd w:fill="FFFFFF" w:val="clear"/>
            <w:vAlign w:val="center"/>
          </w:tcPr>
          <w:p>
            <w:pPr>
              <w:pStyle w:val="TableContents"/>
              <w:bidi w:val="0"/>
              <w:spacing w:before="0" w:after="283"/>
              <w:jc w:val="left"/>
              <w:rPr/>
            </w:pPr>
            <w:r>
              <w:rPr/>
              <w:t> </w:t>
            </w:r>
          </w:p>
        </w:tc>
        <w:tc>
          <w:tcPr>
            <w:tcW w:w="2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86" w:type="dxa"/>
            <w:tcBorders/>
            <w:shd w:fill="FFFFFF" w:val="clear"/>
            <w:vAlign w:val="center"/>
          </w:tcPr>
          <w:p>
            <w:pPr>
              <w:pStyle w:val="TableContents"/>
              <w:bidi w:val="0"/>
              <w:spacing w:before="0" w:after="283"/>
              <w:jc w:val="left"/>
              <w:rPr/>
            </w:pPr>
            <w:r>
              <w:rPr/>
              <w:t> </w:t>
            </w:r>
          </w:p>
        </w:tc>
      </w:tr>
      <w:tr>
        <w:trPr/>
        <w:tc>
          <w:tcPr>
            <w:tcW w:w="1709"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Ending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3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6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43,660</w:t>
            </w:r>
          </w:p>
        </w:tc>
        <w:tc>
          <w:tcPr>
            <w:tcW w:w="8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15"/>
        <w:gridCol w:w="60"/>
        <w:gridCol w:w="300"/>
        <w:gridCol w:w="1316"/>
        <w:gridCol w:w="80"/>
        <w:gridCol w:w="60"/>
        <w:gridCol w:w="222"/>
        <w:gridCol w:w="1055"/>
        <w:gridCol w:w="80"/>
        <w:gridCol w:w="60"/>
        <w:gridCol w:w="278"/>
        <w:gridCol w:w="1316"/>
        <w:gridCol w:w="80"/>
        <w:gridCol w:w="60"/>
        <w:gridCol w:w="278"/>
        <w:gridCol w:w="1082"/>
        <w:gridCol w:w="80"/>
        <w:gridCol w:w="60"/>
        <w:gridCol w:w="125"/>
        <w:gridCol w:w="335"/>
        <w:gridCol w:w="80"/>
        <w:gridCol w:w="60"/>
        <w:gridCol w:w="131"/>
        <w:gridCol w:w="354"/>
        <w:gridCol w:w="80"/>
        <w:gridCol w:w="60"/>
        <w:gridCol w:w="125"/>
        <w:gridCol w:w="590"/>
        <w:gridCol w:w="83"/>
      </w:tblGrid>
      <w:tr>
        <w:trPr/>
        <w:tc>
          <w:tcPr>
            <w:tcW w:w="17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47" w:type="dxa"/>
            <w:gridSpan w:val="2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Six Months Ended June 30, 2025</w:t>
            </w:r>
          </w:p>
        </w:tc>
        <w:tc>
          <w:tcPr>
            <w:tcW w:w="83" w:type="dxa"/>
            <w:tcBorders/>
            <w:shd w:fill="FFFFFF" w:val="clear"/>
            <w:vAlign w:val="center"/>
          </w:tcPr>
          <w:p>
            <w:pPr>
              <w:pStyle w:val="TableContents"/>
              <w:bidi w:val="0"/>
              <w:spacing w:before="0" w:after="283"/>
              <w:jc w:val="left"/>
              <w:rPr/>
            </w:pPr>
            <w:r>
              <w:rPr/>
              <w:t> </w:t>
            </w:r>
          </w:p>
        </w:tc>
      </w:tr>
      <w:tr>
        <w:trPr/>
        <w:tc>
          <w:tcPr>
            <w:tcW w:w="17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Single-family residential mortgages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Commercial real estate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Construction and land development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Commercial and industrial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SBA</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83" w:type="dxa"/>
            <w:tcBorders/>
            <w:shd w:fill="FFFFFF" w:val="clear"/>
            <w:vAlign w:val="center"/>
          </w:tcPr>
          <w:p>
            <w:pPr>
              <w:pStyle w:val="TableContents"/>
              <w:bidi w:val="0"/>
              <w:spacing w:before="0" w:after="283"/>
              <w:jc w:val="left"/>
              <w:rPr/>
            </w:pPr>
            <w:r>
              <w:rPr/>
              <w:t> </w:t>
            </w:r>
          </w:p>
        </w:tc>
      </w:tr>
      <w:tr>
        <w:trPr/>
        <w:tc>
          <w:tcPr>
            <w:tcW w:w="171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Allowance for loan losses:</w:t>
            </w:r>
          </w:p>
        </w:tc>
        <w:tc>
          <w:tcPr>
            <w:tcW w:w="60" w:type="dxa"/>
            <w:tcBorders/>
            <w:shd w:fill="FFFFFF" w:val="clear"/>
            <w:vAlign w:val="center"/>
          </w:tcPr>
          <w:p>
            <w:pPr>
              <w:pStyle w:val="TableContents"/>
              <w:bidi w:val="0"/>
              <w:spacing w:before="0" w:after="283"/>
              <w:ind w:left="0" w:right="0" w:hanging="0"/>
              <w:jc w:val="left"/>
              <w:rPr/>
            </w:pPr>
            <w:r>
              <w:rPr/>
              <w:t> </w:t>
            </w:r>
          </w:p>
        </w:tc>
        <w:tc>
          <w:tcPr>
            <w:tcW w:w="8347" w:type="dxa"/>
            <w:gridSpan w:val="2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i/>
                <w:caps w:val="false"/>
                <w:smallCaps w:val="false"/>
                <w:sz w:val="20"/>
              </w:rPr>
              <w:t>(dollars in thousands)</w:t>
            </w:r>
          </w:p>
        </w:tc>
        <w:tc>
          <w:tcPr>
            <w:tcW w:w="83" w:type="dxa"/>
            <w:tcBorders/>
            <w:shd w:fill="FFFFFF" w:val="clear"/>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30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47,729</w:t>
            </w:r>
          </w:p>
        </w:tc>
        <w:tc>
          <w:tcPr>
            <w:tcW w:w="83" w:type="dxa"/>
            <w:tcBorders/>
            <w:shd w:fill="CCEEFF" w:val="clear"/>
            <w:vAlign w:val="center"/>
          </w:tcPr>
          <w:p>
            <w:pPr>
              <w:pStyle w:val="TableContents"/>
              <w:bidi w:val="0"/>
              <w:spacing w:before="0" w:after="283"/>
              <w:jc w:val="left"/>
              <w:rPr/>
            </w:pPr>
            <w:r>
              <w:rPr/>
              <w:t> </w:t>
            </w:r>
          </w:p>
        </w:tc>
      </w:tr>
      <w:tr>
        <w:trPr/>
        <w:tc>
          <w:tcPr>
            <w:tcW w:w="171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for/(reversal of) credit losses</w:t>
            </w:r>
          </w:p>
        </w:tc>
        <w:tc>
          <w:tcPr>
            <w:tcW w:w="6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ind w:left="0" w:right="0" w:hanging="0"/>
              <w:jc w:val="left"/>
              <w:rPr/>
            </w:pPr>
            <w:r>
              <w:rPr/>
              <w:t> </w:t>
            </w:r>
          </w:p>
        </w:tc>
        <w:tc>
          <w:tcPr>
            <w:tcW w:w="13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ind w:left="0" w:right="0" w:hanging="0"/>
              <w:jc w:val="left"/>
              <w:rPr/>
            </w:pPr>
            <w:r>
              <w:rPr/>
              <w:t> </w:t>
            </w:r>
          </w:p>
        </w:tc>
        <w:tc>
          <w:tcPr>
            <w:tcW w:w="13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ind w:left="0" w:right="0" w:hanging="0"/>
              <w:jc w:val="left"/>
              <w:rPr/>
            </w:pPr>
            <w:r>
              <w:rPr/>
              <w:t> </w:t>
            </w:r>
          </w:p>
        </w:tc>
        <w:tc>
          <w:tcPr>
            <w:tcW w:w="10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3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9,233</w:t>
            </w:r>
          </w:p>
        </w:tc>
        <w:tc>
          <w:tcPr>
            <w:tcW w:w="83" w:type="dxa"/>
            <w:tcBorders/>
            <w:shd w:fill="FFFFFF" w:val="clear"/>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Charge-offs</w:t>
            </w:r>
          </w:p>
        </w:tc>
        <w:tc>
          <w:tcPr>
            <w:tcW w:w="6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ind w:left="0" w:right="0" w:hanging="0"/>
              <w:jc w:val="left"/>
              <w:rPr/>
            </w:pPr>
            <w:r>
              <w:rPr/>
              <w:t> </w:t>
            </w:r>
          </w:p>
        </w:tc>
        <w:tc>
          <w:tcPr>
            <w:tcW w:w="13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ind w:left="0" w:right="0" w:hanging="0"/>
              <w:jc w:val="left"/>
              <w:rPr/>
            </w:pPr>
            <w:r>
              <w:rPr/>
              <w:t> </w:t>
            </w:r>
          </w:p>
        </w:tc>
        <w:tc>
          <w:tcPr>
            <w:tcW w:w="13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ind w:left="0" w:right="0" w:hanging="0"/>
              <w:jc w:val="left"/>
              <w:rPr/>
            </w:pPr>
            <w:r>
              <w:rPr/>
              <w:t> </w:t>
            </w:r>
          </w:p>
        </w:tc>
        <w:tc>
          <w:tcPr>
            <w:tcW w:w="10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3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(6,066</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1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Recoveries</w:t>
            </w:r>
          </w:p>
        </w:tc>
        <w:tc>
          <w:tcPr>
            <w:tcW w:w="60" w:type="dxa"/>
            <w:tcBorders/>
            <w:shd w:fill="FFFFFF" w:val="clear"/>
            <w:vAlign w:val="center"/>
          </w:tcPr>
          <w:p>
            <w:pPr>
              <w:pStyle w:val="TableContents"/>
              <w:bidi w:val="0"/>
              <w:spacing w:before="0" w:after="283"/>
              <w:jc w:val="left"/>
              <w:rPr/>
            </w:pPr>
            <w:r>
              <w:rPr/>
              <w:t> </w:t>
            </w:r>
          </w:p>
        </w:tc>
        <w:tc>
          <w:tcPr>
            <w:tcW w:w="30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w:t>
            </w:r>
          </w:p>
        </w:tc>
        <w:tc>
          <w:tcPr>
            <w:tcW w:w="83" w:type="dxa"/>
            <w:tcBorders/>
            <w:shd w:fill="FFFFFF" w:val="clear"/>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Ending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30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51,014</w:t>
            </w:r>
          </w:p>
        </w:tc>
        <w:tc>
          <w:tcPr>
            <w:tcW w:w="8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categorize loans into risk categories based on relevant information about the ability of borrowers to service their debt such as current financial information, historical payment experience, collateral adequacy, credit documentation, and current economic trends, among other factors. We analyze loans individually by classifying the loans as to credit risk. This analysis typically includes larger, non-homogeneous loans such as commercial real estate (“CRE”), construction and land development (“C&amp;D”), and commercial and industrial (“C&amp;I”) loans. This analysis is performed on an ongoing basis as new information is obtained. We use the following definitions for risk ratings: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both"/>
        <w:rPr/>
      </w:pPr>
      <w:r>
        <w:rPr>
          <w:rFonts w:ascii="Times New Roman" w:hAnsi="Times New Roman"/>
          <w:b/>
          <w:caps w:val="false"/>
          <w:smallCaps w:val="false"/>
          <w:sz w:val="20"/>
        </w:rPr>
        <w:t>Pass</w:t>
      </w:r>
      <w:r>
        <w:rPr>
          <w:rFonts w:ascii="Times New Roman" w:hAnsi="Times New Roman"/>
          <w:caps w:val="false"/>
          <w:smallCaps w:val="false"/>
          <w:sz w:val="20"/>
        </w:rPr>
        <w:t xml:space="preserve"> - Loans classified as pass include loans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meeting the risk ratings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b/>
          <w:caps w:val="false"/>
          <w:smallCaps w:val="false"/>
          <w:sz w:val="20"/>
        </w:rPr>
        <w:t xml:space="preserve">Special Mention </w:t>
      </w:r>
      <w:r>
        <w:rPr>
          <w:rFonts w:ascii="Times New Roman" w:hAnsi="Times New Roman"/>
          <w:caps w:val="false"/>
          <w:smallCaps w:val="false"/>
          <w:sz w:val="20"/>
        </w:rPr>
        <w:t xml:space="preserve">- Loans classified as special mention have a potential weakness that deserves management’s close attention. If left uncorrected, these potential weaknesses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result in deterioration of the repayment prospects for the loan or of the institution’s credit position at some future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b/>
          <w:caps w:val="false"/>
          <w:smallCaps w:val="false"/>
          <w:sz w:val="20"/>
        </w:rPr>
        <w:t xml:space="preserve">Substandard </w:t>
      </w:r>
      <w:r>
        <w:rPr>
          <w:rFonts w:ascii="Times New Roman" w:hAnsi="Times New Roman"/>
          <w:caps w:val="false"/>
          <w:smallCaps w:val="false"/>
          <w:sz w:val="20"/>
        </w:rPr>
        <w:t xml:space="preserve">- Loans classified as substandard are inadequately protected by the current net worth and paying capacity of the obligor or of the collateral pledged, if any. Loans so classified have a well-defined weakness or weaknesses that jeopardize the liquidation of the debt. They are characterized by the distinct possibility that the institution will sustain some loss if the deficiencies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corrected.</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caps w:val="false"/>
          <w:smallCaps w:val="false"/>
          <w:sz w:val="20"/>
        </w:rPr>
        <w:t>Doubtful </w:t>
      </w:r>
      <w:r>
        <w:rPr>
          <w:rFonts w:ascii="Times New Roman" w:hAnsi="Times New Roman"/>
          <w:caps w:val="false"/>
          <w:smallCaps w:val="false"/>
          <w:sz w:val="20"/>
        </w:rPr>
        <w:t>- Loans classified as doubtful have all the weaknesses inherent in those classified as substandard, with the added characteristic that the weaknesses make collection or liquidation in full highly questionable and improbable based on facts, conditions, and values that currently exist.</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following tables summarize our loans HFI by loan portfolio segment, risk rating and vintage year as of the dates indicated. The vintage year is the year of origination, renewal or major modification. </w:t>
      </w:r>
    </w:p>
    <w:p>
      <w:pPr>
        <w:pStyle w:val="TextBody"/>
        <w:bidi w:val="0"/>
        <w:spacing w:before="0" w:after="0"/>
        <w:ind w:left="0" w:right="0" w:firstLine="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21"/>
        <w:gridCol w:w="60"/>
        <w:gridCol w:w="110"/>
        <w:gridCol w:w="605"/>
        <w:gridCol w:w="60"/>
        <w:gridCol w:w="60"/>
        <w:gridCol w:w="110"/>
        <w:gridCol w:w="605"/>
        <w:gridCol w:w="60"/>
        <w:gridCol w:w="60"/>
        <w:gridCol w:w="110"/>
        <w:gridCol w:w="605"/>
        <w:gridCol w:w="60"/>
        <w:gridCol w:w="60"/>
        <w:gridCol w:w="110"/>
        <w:gridCol w:w="605"/>
        <w:gridCol w:w="60"/>
        <w:gridCol w:w="60"/>
        <w:gridCol w:w="110"/>
        <w:gridCol w:w="605"/>
        <w:gridCol w:w="60"/>
        <w:gridCol w:w="60"/>
        <w:gridCol w:w="110"/>
        <w:gridCol w:w="605"/>
        <w:gridCol w:w="60"/>
        <w:gridCol w:w="60"/>
        <w:gridCol w:w="110"/>
        <w:gridCol w:w="605"/>
        <w:gridCol w:w="60"/>
        <w:gridCol w:w="60"/>
        <w:gridCol w:w="484"/>
        <w:gridCol w:w="1149"/>
        <w:gridCol w:w="60"/>
        <w:gridCol w:w="60"/>
        <w:gridCol w:w="110"/>
        <w:gridCol w:w="740"/>
        <w:gridCol w:w="76"/>
      </w:tblGrid>
      <w:tr>
        <w:trPr/>
        <w:tc>
          <w:tcPr>
            <w:tcW w:w="16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90"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Term Loan by Vintage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76" w:type="dxa"/>
            <w:tcBorders/>
            <w:shd w:fill="FFFFFF" w:val="clear"/>
            <w:vAlign w:val="center"/>
          </w:tcPr>
          <w:p>
            <w:pPr>
              <w:pStyle w:val="TableContents"/>
              <w:bidi w:val="0"/>
              <w:spacing w:before="0" w:after="283"/>
              <w:jc w:val="left"/>
              <w:rPr/>
            </w:pPr>
            <w:r>
              <w:rPr/>
              <w:t> </w:t>
            </w:r>
          </w:p>
        </w:tc>
      </w:tr>
      <w:tr>
        <w:trPr/>
        <w:tc>
          <w:tcPr>
            <w:tcW w:w="162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June 30, 2026</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Prior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Revolving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Revolving Converted to Term During the Period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Total</w:t>
            </w:r>
          </w:p>
        </w:tc>
        <w:tc>
          <w:tcPr>
            <w:tcW w:w="76" w:type="dxa"/>
            <w:tcBorders/>
            <w:shd w:fill="FFFFFF" w:val="clear"/>
            <w:vAlign w:val="center"/>
          </w:tcPr>
          <w:p>
            <w:pPr>
              <w:pStyle w:val="TableContents"/>
              <w:bidi w:val="0"/>
              <w:spacing w:before="0" w:after="283"/>
              <w:jc w:val="left"/>
              <w:rPr/>
            </w:pPr>
            <w:r>
              <w:rPr/>
              <w:t> </w:t>
            </w:r>
          </w:p>
        </w:tc>
      </w:tr>
      <w:tr>
        <w:trPr/>
        <w:tc>
          <w:tcPr>
            <w:tcW w:w="1621" w:type="dxa"/>
            <w:tcBorders/>
            <w:shd w:fill="FFFF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Real estate:</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8338" w:type="dxa"/>
            <w:gridSpan w:val="33"/>
            <w:tcBorders/>
            <w:shd w:fill="FFFFFF" w:val="clear"/>
            <w:vAlign w:val="center"/>
          </w:tcPr>
          <w:p>
            <w:pPr>
              <w:pStyle w:val="TableContents"/>
              <w:bidi w:val="0"/>
              <w:spacing w:before="0" w:after="0"/>
              <w:jc w:val="center"/>
              <w:rPr/>
            </w:pPr>
            <w:r>
              <w:rPr>
                <w:rStyle w:val="Emphasis"/>
                <w:rFonts w:ascii="Times New Roman;Times;serif" w:hAnsi="Times New Roman;Times;serif"/>
                <w:b/>
                <w:i/>
                <w:sz w:val="16"/>
              </w:rPr>
              <w:t>(dollars in thousands)</w:t>
            </w:r>
          </w:p>
        </w:tc>
        <w:tc>
          <w:tcPr>
            <w:tcW w:w="76" w:type="dxa"/>
            <w:tcBorders/>
            <w:shd w:fill="FFFFFF" w:val="clear"/>
            <w:vAlign w:val="center"/>
          </w:tcPr>
          <w:p>
            <w:pPr>
              <w:pStyle w:val="TableContents"/>
              <w:bidi w:val="0"/>
              <w:spacing w:before="0" w:after="283"/>
              <w:jc w:val="left"/>
              <w:rPr/>
            </w:pPr>
            <w:r>
              <w:rPr/>
              <w:t> </w:t>
            </w:r>
          </w:p>
        </w:tc>
      </w:tr>
      <w:tr>
        <w:trPr/>
        <w:tc>
          <w:tcPr>
            <w:tcW w:w="1621" w:type="dxa"/>
            <w:tcBorders/>
            <w:shd w:fill="CCEEFF" w:val="clear"/>
            <w:vAlign w:val="center"/>
          </w:tcPr>
          <w:p>
            <w:pPr>
              <w:pStyle w:val="TableContents"/>
              <w:bidi w:val="0"/>
              <w:spacing w:before="0" w:after="0"/>
              <w:ind w:left="18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Single-family residential mortgages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1621"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Pass</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178,820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312,384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76,171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114,908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477,039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518,686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4"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114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1,678,900</w:t>
            </w:r>
          </w:p>
        </w:tc>
        <w:tc>
          <w:tcPr>
            <w:tcW w:w="76" w:type="dxa"/>
            <w:tcBorders/>
            <w:shd w:fill="FFFFFF" w:val="clear"/>
            <w:vAlign w:val="center"/>
          </w:tcPr>
          <w:p>
            <w:pPr>
              <w:pStyle w:val="TableContents"/>
              <w:bidi w:val="0"/>
              <w:spacing w:before="0" w:after="283"/>
              <w:jc w:val="left"/>
              <w:rPr/>
            </w:pPr>
            <w:r>
              <w:rPr/>
              <w:t> </w:t>
            </w:r>
          </w:p>
        </w:tc>
      </w:tr>
      <w:tr>
        <w:trPr/>
        <w:tc>
          <w:tcPr>
            <w:tcW w:w="1621"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Special mention</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ind w:left="0" w:right="0" w:hanging="0"/>
              <w:jc w:val="left"/>
              <w:rPr/>
            </w:pPr>
            <w:r>
              <w:rPr/>
              <w:t> </w:t>
            </w:r>
          </w:p>
        </w:tc>
        <w:tc>
          <w:tcPr>
            <w:tcW w:w="114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t>—</w:t>
            </w:r>
          </w:p>
        </w:tc>
        <w:tc>
          <w:tcPr>
            <w:tcW w:w="76" w:type="dxa"/>
            <w:tcBorders/>
            <w:shd w:fill="CCEEFF" w:val="clear"/>
            <w:vAlign w:val="center"/>
          </w:tcPr>
          <w:p>
            <w:pPr>
              <w:pStyle w:val="TableContents"/>
              <w:bidi w:val="0"/>
              <w:spacing w:before="0" w:after="283"/>
              <w:jc w:val="left"/>
              <w:rPr/>
            </w:pPr>
            <w:r>
              <w:rPr/>
              <w:t> </w:t>
            </w:r>
          </w:p>
        </w:tc>
      </w:tr>
      <w:tr>
        <w:trPr/>
        <w:tc>
          <w:tcPr>
            <w:tcW w:w="1621"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Substandard</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ind w:left="0" w:right="0" w:hanging="0"/>
              <w:jc w:val="left"/>
              <w:rPr/>
            </w:pPr>
            <w:r>
              <w:rPr/>
              <w:t> </w:t>
            </w:r>
          </w:p>
        </w:tc>
        <w:tc>
          <w:tcPr>
            <w:tcW w:w="114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1,735</w:t>
            </w:r>
          </w:p>
        </w:tc>
        <w:tc>
          <w:tcPr>
            <w:tcW w:w="76" w:type="dxa"/>
            <w:tcBorders/>
            <w:shd w:fill="FFFFFF" w:val="clear"/>
            <w:vAlign w:val="center"/>
          </w:tcPr>
          <w:p>
            <w:pPr>
              <w:pStyle w:val="TableContents"/>
              <w:bidi w:val="0"/>
              <w:spacing w:before="0" w:after="283"/>
              <w:jc w:val="left"/>
              <w:rPr/>
            </w:pPr>
            <w:r>
              <w:rPr/>
              <w:t> </w:t>
            </w:r>
          </w:p>
        </w:tc>
      </w:tr>
      <w:tr>
        <w:trPr/>
        <w:tc>
          <w:tcPr>
            <w:tcW w:w="1621"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Doubtful</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76" w:type="dxa"/>
            <w:tcBorders/>
            <w:shd w:fill="CCEEFF" w:val="clear"/>
            <w:vAlign w:val="center"/>
          </w:tcPr>
          <w:p>
            <w:pPr>
              <w:pStyle w:val="TableContents"/>
              <w:bidi w:val="0"/>
              <w:spacing w:before="0" w:after="283"/>
              <w:jc w:val="left"/>
              <w:rPr/>
            </w:pPr>
            <w:r>
              <w:rPr/>
              <w:t> </w:t>
            </w:r>
          </w:p>
        </w:tc>
      </w:tr>
      <w:tr>
        <w:trPr/>
        <w:tc>
          <w:tcPr>
            <w:tcW w:w="1621" w:type="dxa"/>
            <w:tcBorders/>
            <w:shd w:fill="FFFFFF" w:val="clear"/>
            <w:vAlign w:val="center"/>
          </w:tcPr>
          <w:p>
            <w:pPr>
              <w:pStyle w:val="TableContents"/>
              <w:bidi w:val="0"/>
              <w:spacing w:before="0" w:after="0"/>
              <w:ind w:left="54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178,820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312,384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76,171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115,615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477,905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518,839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114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1,680,635</w:t>
            </w:r>
          </w:p>
        </w:tc>
        <w:tc>
          <w:tcPr>
            <w:tcW w:w="76" w:type="dxa"/>
            <w:tcBorders/>
            <w:shd w:fill="FFFFFF" w:val="clear"/>
            <w:vAlign w:val="center"/>
          </w:tcPr>
          <w:p>
            <w:pPr>
              <w:pStyle w:val="TableContents"/>
              <w:bidi w:val="0"/>
              <w:spacing w:before="0" w:after="283"/>
              <w:jc w:val="left"/>
              <w:rPr/>
            </w:pPr>
            <w:r>
              <w:rPr/>
              <w:t> </w:t>
            </w:r>
          </w:p>
        </w:tc>
      </w:tr>
      <w:tr>
        <w:trPr/>
        <w:tc>
          <w:tcPr>
            <w:tcW w:w="1621"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YTD gross charge-offs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4"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114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pPr>
            <w:r>
              <w:rPr/>
              <w:t>—</w:t>
            </w:r>
          </w:p>
        </w:tc>
        <w:tc>
          <w:tcPr>
            <w:tcW w:w="76" w:type="dxa"/>
            <w:tcBorders/>
            <w:shd w:fill="CCEEFF" w:val="clear"/>
            <w:vAlign w:val="center"/>
          </w:tcPr>
          <w:p>
            <w:pPr>
              <w:pStyle w:val="TableContents"/>
              <w:bidi w:val="0"/>
              <w:spacing w:before="0" w:after="283"/>
              <w:jc w:val="left"/>
              <w:rPr/>
            </w:pPr>
            <w:r>
              <w:rPr/>
              <w:t> </w:t>
            </w:r>
          </w:p>
        </w:tc>
      </w:tr>
      <w:tr>
        <w:trPr/>
        <w:tc>
          <w:tcPr>
            <w:tcW w:w="1621" w:type="dxa"/>
            <w:tcBorders/>
            <w:shd w:fill="FFFFFF" w:val="clear"/>
            <w:vAlign w:val="center"/>
          </w:tcPr>
          <w:p>
            <w:pPr>
              <w:pStyle w:val="TableContents"/>
              <w:bidi w:val="0"/>
              <w:spacing w:before="0" w:after="0"/>
              <w:ind w:left="18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Commercial real estate</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1621"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Pass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100,358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256,220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141,173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42,597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381,811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307,237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4"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114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1,229,396</w:t>
            </w:r>
          </w:p>
        </w:tc>
        <w:tc>
          <w:tcPr>
            <w:tcW w:w="76" w:type="dxa"/>
            <w:tcBorders/>
            <w:shd w:fill="CCEEFF" w:val="clear"/>
            <w:vAlign w:val="center"/>
          </w:tcPr>
          <w:p>
            <w:pPr>
              <w:pStyle w:val="TableContents"/>
              <w:bidi w:val="0"/>
              <w:spacing w:before="0" w:after="283"/>
              <w:jc w:val="left"/>
              <w:rPr/>
            </w:pPr>
            <w:r>
              <w:rPr/>
              <w:t> </w:t>
            </w:r>
          </w:p>
        </w:tc>
      </w:tr>
      <w:tr>
        <w:trPr/>
        <w:tc>
          <w:tcPr>
            <w:tcW w:w="1621"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Special mention</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8,363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ind w:left="0" w:right="0" w:hanging="0"/>
              <w:jc w:val="left"/>
              <w:rPr/>
            </w:pPr>
            <w:r>
              <w:rPr/>
              <w:t> </w:t>
            </w:r>
          </w:p>
        </w:tc>
        <w:tc>
          <w:tcPr>
            <w:tcW w:w="114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14,111</w:t>
            </w:r>
          </w:p>
        </w:tc>
        <w:tc>
          <w:tcPr>
            <w:tcW w:w="76" w:type="dxa"/>
            <w:tcBorders/>
            <w:shd w:fill="FFFFFF" w:val="clear"/>
            <w:vAlign w:val="center"/>
          </w:tcPr>
          <w:p>
            <w:pPr>
              <w:pStyle w:val="TableContents"/>
              <w:bidi w:val="0"/>
              <w:spacing w:before="0" w:after="283"/>
              <w:jc w:val="left"/>
              <w:rPr/>
            </w:pPr>
            <w:r>
              <w:rPr/>
              <w:t> </w:t>
            </w:r>
          </w:p>
        </w:tc>
      </w:tr>
      <w:tr>
        <w:trPr/>
        <w:tc>
          <w:tcPr>
            <w:tcW w:w="1621"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Substandard</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4,920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27,570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ind w:left="0" w:right="0" w:hanging="0"/>
              <w:jc w:val="left"/>
              <w:rPr/>
            </w:pPr>
            <w:r>
              <w:rPr/>
              <w:t> </w:t>
            </w:r>
          </w:p>
        </w:tc>
        <w:tc>
          <w:tcPr>
            <w:tcW w:w="114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34,052</w:t>
            </w:r>
          </w:p>
        </w:tc>
        <w:tc>
          <w:tcPr>
            <w:tcW w:w="76" w:type="dxa"/>
            <w:tcBorders/>
            <w:shd w:fill="CCEEFF" w:val="clear"/>
            <w:vAlign w:val="center"/>
          </w:tcPr>
          <w:p>
            <w:pPr>
              <w:pStyle w:val="TableContents"/>
              <w:bidi w:val="0"/>
              <w:spacing w:before="0" w:after="283"/>
              <w:jc w:val="left"/>
              <w:rPr/>
            </w:pPr>
            <w:r>
              <w:rPr/>
              <w:t> </w:t>
            </w:r>
          </w:p>
        </w:tc>
      </w:tr>
      <w:tr>
        <w:trPr/>
        <w:tc>
          <w:tcPr>
            <w:tcW w:w="1621"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Doubtful</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76" w:type="dxa"/>
            <w:tcBorders/>
            <w:shd w:fill="FFFFFF" w:val="clear"/>
            <w:vAlign w:val="center"/>
          </w:tcPr>
          <w:p>
            <w:pPr>
              <w:pStyle w:val="TableContents"/>
              <w:bidi w:val="0"/>
              <w:spacing w:before="0" w:after="283"/>
              <w:jc w:val="left"/>
              <w:rPr/>
            </w:pPr>
            <w:r>
              <w:rPr/>
              <w:t> </w:t>
            </w:r>
          </w:p>
        </w:tc>
      </w:tr>
      <w:tr>
        <w:trPr/>
        <w:tc>
          <w:tcPr>
            <w:tcW w:w="1621" w:type="dxa"/>
            <w:tcBorders/>
            <w:shd w:fill="CCEEFF" w:val="clear"/>
            <w:vAlign w:val="center"/>
          </w:tcPr>
          <w:p>
            <w:pPr>
              <w:pStyle w:val="TableContents"/>
              <w:bidi w:val="0"/>
              <w:spacing w:before="0" w:after="0"/>
              <w:ind w:left="54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100,358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256,220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146,812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42,597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388,402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343,170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114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1,277,559</w:t>
            </w:r>
          </w:p>
        </w:tc>
        <w:tc>
          <w:tcPr>
            <w:tcW w:w="76" w:type="dxa"/>
            <w:tcBorders/>
            <w:shd w:fill="CCEEFF" w:val="clear"/>
            <w:vAlign w:val="center"/>
          </w:tcPr>
          <w:p>
            <w:pPr>
              <w:pStyle w:val="TableContents"/>
              <w:bidi w:val="0"/>
              <w:spacing w:before="0" w:after="283"/>
              <w:jc w:val="left"/>
              <w:rPr/>
            </w:pPr>
            <w:r>
              <w:rPr/>
              <w:t> </w:t>
            </w:r>
          </w:p>
        </w:tc>
      </w:tr>
      <w:tr>
        <w:trPr/>
        <w:tc>
          <w:tcPr>
            <w:tcW w:w="1621"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YTD gross charge-offs</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4"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114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FFFFFF" w:val="clear"/>
            <w:vAlign w:val="center"/>
          </w:tcPr>
          <w:p>
            <w:pPr>
              <w:pStyle w:val="TableContents"/>
              <w:bidi w:val="0"/>
              <w:spacing w:before="0" w:after="283"/>
              <w:ind w:left="0" w:right="0" w:hanging="0"/>
              <w:jc w:val="right"/>
              <w:rPr/>
            </w:pPr>
            <w:r>
              <w:rPr/>
              <w:t>—</w:t>
            </w:r>
          </w:p>
        </w:tc>
        <w:tc>
          <w:tcPr>
            <w:tcW w:w="76" w:type="dxa"/>
            <w:tcBorders/>
            <w:shd w:fill="FFFFFF" w:val="clear"/>
            <w:vAlign w:val="center"/>
          </w:tcPr>
          <w:p>
            <w:pPr>
              <w:pStyle w:val="TableContents"/>
              <w:bidi w:val="0"/>
              <w:spacing w:before="0" w:after="283"/>
              <w:jc w:val="left"/>
              <w:rPr/>
            </w:pPr>
            <w:r>
              <w:rPr/>
              <w:t> </w:t>
            </w:r>
          </w:p>
        </w:tc>
      </w:tr>
      <w:tr>
        <w:trPr/>
        <w:tc>
          <w:tcPr>
            <w:tcW w:w="1621" w:type="dxa"/>
            <w:tcBorders/>
            <w:shd w:fill="CCEEFF" w:val="clear"/>
            <w:vAlign w:val="center"/>
          </w:tcPr>
          <w:p>
            <w:pPr>
              <w:pStyle w:val="TableContents"/>
              <w:bidi w:val="0"/>
              <w:spacing w:before="0" w:after="0"/>
              <w:ind w:left="18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Construction and land development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1621"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Pass</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7,487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6,392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36,271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43,701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44,350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4"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114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138,201</w:t>
            </w:r>
          </w:p>
        </w:tc>
        <w:tc>
          <w:tcPr>
            <w:tcW w:w="76" w:type="dxa"/>
            <w:tcBorders/>
            <w:shd w:fill="FFFFFF" w:val="clear"/>
            <w:vAlign w:val="center"/>
          </w:tcPr>
          <w:p>
            <w:pPr>
              <w:pStyle w:val="TableContents"/>
              <w:bidi w:val="0"/>
              <w:spacing w:before="0" w:after="283"/>
              <w:jc w:val="left"/>
              <w:rPr/>
            </w:pPr>
            <w:r>
              <w:rPr/>
              <w:t> </w:t>
            </w:r>
          </w:p>
        </w:tc>
      </w:tr>
      <w:tr>
        <w:trPr/>
        <w:tc>
          <w:tcPr>
            <w:tcW w:w="1621"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Special mention</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ind w:left="0" w:right="0" w:hanging="0"/>
              <w:jc w:val="left"/>
              <w:rPr/>
            </w:pPr>
            <w:r>
              <w:rPr/>
              <w:t> </w:t>
            </w:r>
          </w:p>
        </w:tc>
        <w:tc>
          <w:tcPr>
            <w:tcW w:w="114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t>—</w:t>
            </w:r>
          </w:p>
        </w:tc>
        <w:tc>
          <w:tcPr>
            <w:tcW w:w="76" w:type="dxa"/>
            <w:tcBorders/>
            <w:shd w:fill="CCEEFF" w:val="clear"/>
            <w:vAlign w:val="center"/>
          </w:tcPr>
          <w:p>
            <w:pPr>
              <w:pStyle w:val="TableContents"/>
              <w:bidi w:val="0"/>
              <w:spacing w:before="0" w:after="283"/>
              <w:jc w:val="left"/>
              <w:rPr/>
            </w:pPr>
            <w:r>
              <w:rPr/>
              <w:t> </w:t>
            </w:r>
          </w:p>
        </w:tc>
      </w:tr>
      <w:tr>
        <w:trPr/>
        <w:tc>
          <w:tcPr>
            <w:tcW w:w="1621"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Substandard</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8,072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ind w:left="0" w:right="0" w:hanging="0"/>
              <w:jc w:val="left"/>
              <w:rPr/>
            </w:pPr>
            <w:r>
              <w:rPr/>
              <w:t> </w:t>
            </w:r>
          </w:p>
        </w:tc>
        <w:tc>
          <w:tcPr>
            <w:tcW w:w="114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8,072</w:t>
            </w:r>
          </w:p>
        </w:tc>
        <w:tc>
          <w:tcPr>
            <w:tcW w:w="76" w:type="dxa"/>
            <w:tcBorders/>
            <w:shd w:fill="FFFFFF" w:val="clear"/>
            <w:vAlign w:val="center"/>
          </w:tcPr>
          <w:p>
            <w:pPr>
              <w:pStyle w:val="TableContents"/>
              <w:bidi w:val="0"/>
              <w:spacing w:before="0" w:after="283"/>
              <w:jc w:val="left"/>
              <w:rPr/>
            </w:pPr>
            <w:r>
              <w:rPr/>
              <w:t> </w:t>
            </w:r>
          </w:p>
        </w:tc>
      </w:tr>
      <w:tr>
        <w:trPr/>
        <w:tc>
          <w:tcPr>
            <w:tcW w:w="1621"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Doubtful</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76" w:type="dxa"/>
            <w:tcBorders/>
            <w:shd w:fill="CCEEFF" w:val="clear"/>
            <w:vAlign w:val="center"/>
          </w:tcPr>
          <w:p>
            <w:pPr>
              <w:pStyle w:val="TableContents"/>
              <w:bidi w:val="0"/>
              <w:spacing w:before="0" w:after="283"/>
              <w:jc w:val="left"/>
              <w:rPr/>
            </w:pPr>
            <w:r>
              <w:rPr/>
              <w:t> </w:t>
            </w:r>
          </w:p>
        </w:tc>
      </w:tr>
      <w:tr>
        <w:trPr/>
        <w:tc>
          <w:tcPr>
            <w:tcW w:w="1621" w:type="dxa"/>
            <w:tcBorders/>
            <w:shd w:fill="FFFFFF" w:val="clear"/>
            <w:vAlign w:val="center"/>
          </w:tcPr>
          <w:p>
            <w:pPr>
              <w:pStyle w:val="TableContents"/>
              <w:bidi w:val="0"/>
              <w:spacing w:before="0" w:after="0"/>
              <w:ind w:left="54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7,487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6,392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36,271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43,701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52,422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114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146,273</w:t>
            </w:r>
          </w:p>
        </w:tc>
        <w:tc>
          <w:tcPr>
            <w:tcW w:w="76" w:type="dxa"/>
            <w:tcBorders/>
            <w:shd w:fill="FFFFFF" w:val="clear"/>
            <w:vAlign w:val="center"/>
          </w:tcPr>
          <w:p>
            <w:pPr>
              <w:pStyle w:val="TableContents"/>
              <w:bidi w:val="0"/>
              <w:spacing w:before="0" w:after="283"/>
              <w:jc w:val="left"/>
              <w:rPr/>
            </w:pPr>
            <w:r>
              <w:rPr/>
              <w:t> </w:t>
            </w:r>
          </w:p>
        </w:tc>
      </w:tr>
      <w:tr>
        <w:trPr/>
        <w:tc>
          <w:tcPr>
            <w:tcW w:w="1621"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YTD gross charge-offs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4"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114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pPr>
            <w:r>
              <w:rPr/>
              <w:t>—</w:t>
            </w:r>
          </w:p>
        </w:tc>
        <w:tc>
          <w:tcPr>
            <w:tcW w:w="76" w:type="dxa"/>
            <w:tcBorders/>
            <w:shd w:fill="CCEEFF" w:val="clear"/>
            <w:vAlign w:val="center"/>
          </w:tcPr>
          <w:p>
            <w:pPr>
              <w:pStyle w:val="TableContents"/>
              <w:bidi w:val="0"/>
              <w:spacing w:before="0" w:after="283"/>
              <w:jc w:val="left"/>
              <w:rPr/>
            </w:pPr>
            <w:r>
              <w:rPr/>
              <w:t> </w:t>
            </w:r>
          </w:p>
        </w:tc>
      </w:tr>
      <w:tr>
        <w:trPr/>
        <w:tc>
          <w:tcPr>
            <w:tcW w:w="1621"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Commercial:</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1621" w:type="dxa"/>
            <w:tcBorders/>
            <w:shd w:fill="CCEEFF" w:val="clear"/>
            <w:vAlign w:val="center"/>
          </w:tcPr>
          <w:p>
            <w:pPr>
              <w:pStyle w:val="TableContents"/>
              <w:bidi w:val="0"/>
              <w:spacing w:before="0" w:after="0"/>
              <w:ind w:left="0" w:right="0" w:firstLine="180"/>
              <w:jc w:val="left"/>
              <w:rPr>
                <w:rFonts w:ascii="Times New Roman;Times;serif" w:hAnsi="Times New Roman;Times;serif"/>
                <w:b/>
                <w:sz w:val="16"/>
              </w:rPr>
            </w:pPr>
            <w:r>
              <w:rPr>
                <w:rFonts w:ascii="Times New Roman;Times;serif" w:hAnsi="Times New Roman;Times;serif"/>
                <w:b/>
                <w:sz w:val="16"/>
              </w:rPr>
              <w:t>Commercial and industrial</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1621"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Pass</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12,709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122,545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4"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114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141,074</w:t>
            </w:r>
          </w:p>
        </w:tc>
        <w:tc>
          <w:tcPr>
            <w:tcW w:w="76" w:type="dxa"/>
            <w:tcBorders/>
            <w:shd w:fill="FFFFFF" w:val="clear"/>
            <w:vAlign w:val="center"/>
          </w:tcPr>
          <w:p>
            <w:pPr>
              <w:pStyle w:val="TableContents"/>
              <w:bidi w:val="0"/>
              <w:spacing w:before="0" w:after="283"/>
              <w:jc w:val="left"/>
              <w:rPr/>
            </w:pPr>
            <w:r>
              <w:rPr/>
              <w:t> </w:t>
            </w:r>
          </w:p>
        </w:tc>
      </w:tr>
      <w:tr>
        <w:trPr/>
        <w:tc>
          <w:tcPr>
            <w:tcW w:w="1621"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Special mention</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ind w:left="0" w:right="0" w:hanging="0"/>
              <w:jc w:val="left"/>
              <w:rPr/>
            </w:pPr>
            <w:r>
              <w:rPr/>
              <w:t> </w:t>
            </w:r>
          </w:p>
        </w:tc>
        <w:tc>
          <w:tcPr>
            <w:tcW w:w="114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w:t>
            </w:r>
          </w:p>
        </w:tc>
        <w:tc>
          <w:tcPr>
            <w:tcW w:w="76" w:type="dxa"/>
            <w:tcBorders/>
            <w:shd w:fill="CCEEFF" w:val="clear"/>
            <w:vAlign w:val="center"/>
          </w:tcPr>
          <w:p>
            <w:pPr>
              <w:pStyle w:val="TableContents"/>
              <w:bidi w:val="0"/>
              <w:spacing w:before="0" w:after="283"/>
              <w:jc w:val="left"/>
              <w:rPr/>
            </w:pPr>
            <w:r>
              <w:rPr/>
              <w:t> </w:t>
            </w:r>
          </w:p>
        </w:tc>
      </w:tr>
      <w:tr>
        <w:trPr/>
        <w:tc>
          <w:tcPr>
            <w:tcW w:w="1621"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Substandard</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4,709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ind w:left="0" w:right="0" w:hanging="0"/>
              <w:jc w:val="left"/>
              <w:rPr/>
            </w:pPr>
            <w:r>
              <w:rPr/>
              <w:t> </w:t>
            </w:r>
          </w:p>
        </w:tc>
        <w:tc>
          <w:tcPr>
            <w:tcW w:w="114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10,860</w:t>
            </w:r>
          </w:p>
        </w:tc>
        <w:tc>
          <w:tcPr>
            <w:tcW w:w="76" w:type="dxa"/>
            <w:tcBorders/>
            <w:shd w:fill="FFFFFF" w:val="clear"/>
            <w:vAlign w:val="center"/>
          </w:tcPr>
          <w:p>
            <w:pPr>
              <w:pStyle w:val="TableContents"/>
              <w:bidi w:val="0"/>
              <w:spacing w:before="0" w:after="283"/>
              <w:jc w:val="left"/>
              <w:rPr/>
            </w:pPr>
            <w:r>
              <w:rPr/>
              <w:t> </w:t>
            </w:r>
          </w:p>
        </w:tc>
      </w:tr>
      <w:tr>
        <w:trPr/>
        <w:tc>
          <w:tcPr>
            <w:tcW w:w="1621"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Doubtful</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76" w:type="dxa"/>
            <w:tcBorders/>
            <w:shd w:fill="CCEEFF" w:val="clear"/>
            <w:vAlign w:val="center"/>
          </w:tcPr>
          <w:p>
            <w:pPr>
              <w:pStyle w:val="TableContents"/>
              <w:bidi w:val="0"/>
              <w:spacing w:before="0" w:after="283"/>
              <w:jc w:val="left"/>
              <w:rPr/>
            </w:pPr>
            <w:r>
              <w:rPr/>
              <w:t> </w:t>
            </w:r>
          </w:p>
        </w:tc>
      </w:tr>
      <w:tr>
        <w:trPr/>
        <w:tc>
          <w:tcPr>
            <w:tcW w:w="1621" w:type="dxa"/>
            <w:tcBorders/>
            <w:shd w:fill="FFFFFF" w:val="clear"/>
            <w:vAlign w:val="center"/>
          </w:tcPr>
          <w:p>
            <w:pPr>
              <w:pStyle w:val="TableContents"/>
              <w:bidi w:val="0"/>
              <w:spacing w:before="0" w:after="0"/>
              <w:ind w:left="54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13,116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8,590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124,371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114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151,961</w:t>
            </w:r>
          </w:p>
        </w:tc>
        <w:tc>
          <w:tcPr>
            <w:tcW w:w="76" w:type="dxa"/>
            <w:tcBorders/>
            <w:shd w:fill="FFFFFF" w:val="clear"/>
            <w:vAlign w:val="center"/>
          </w:tcPr>
          <w:p>
            <w:pPr>
              <w:pStyle w:val="TableContents"/>
              <w:bidi w:val="0"/>
              <w:spacing w:before="0" w:after="283"/>
              <w:jc w:val="left"/>
              <w:rPr/>
            </w:pPr>
            <w:r>
              <w:rPr/>
              <w:t> </w:t>
            </w:r>
          </w:p>
        </w:tc>
      </w:tr>
      <w:tr>
        <w:trPr/>
        <w:tc>
          <w:tcPr>
            <w:tcW w:w="1621"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YTD gross charge-offs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4"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114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106</w:t>
            </w:r>
          </w:p>
        </w:tc>
        <w:tc>
          <w:tcPr>
            <w:tcW w:w="76" w:type="dxa"/>
            <w:tcBorders/>
            <w:shd w:fill="CCEEFF" w:val="clear"/>
            <w:vAlign w:val="center"/>
          </w:tcPr>
          <w:p>
            <w:pPr>
              <w:pStyle w:val="TableContents"/>
              <w:bidi w:val="0"/>
              <w:spacing w:before="0" w:after="283"/>
              <w:jc w:val="left"/>
              <w:rPr/>
            </w:pPr>
            <w:r>
              <w:rPr/>
              <w:t> </w:t>
            </w:r>
          </w:p>
        </w:tc>
      </w:tr>
      <w:tr>
        <w:trPr/>
        <w:tc>
          <w:tcPr>
            <w:tcW w:w="1621" w:type="dxa"/>
            <w:tcBorders/>
            <w:shd w:fill="FFFFFF" w:val="clear"/>
            <w:vAlign w:val="center"/>
          </w:tcPr>
          <w:p>
            <w:pPr>
              <w:pStyle w:val="TableContents"/>
              <w:bidi w:val="0"/>
              <w:spacing w:before="0" w:after="0"/>
              <w:ind w:left="18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SBA</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1621"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Pass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8,740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4,159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17,682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4"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114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36,725</w:t>
            </w:r>
          </w:p>
        </w:tc>
        <w:tc>
          <w:tcPr>
            <w:tcW w:w="76" w:type="dxa"/>
            <w:tcBorders/>
            <w:shd w:fill="CCEEFF" w:val="clear"/>
            <w:vAlign w:val="center"/>
          </w:tcPr>
          <w:p>
            <w:pPr>
              <w:pStyle w:val="TableContents"/>
              <w:bidi w:val="0"/>
              <w:spacing w:before="0" w:after="283"/>
              <w:jc w:val="left"/>
              <w:rPr/>
            </w:pPr>
            <w:r>
              <w:rPr/>
              <w:t> </w:t>
            </w:r>
          </w:p>
        </w:tc>
      </w:tr>
      <w:tr>
        <w:trPr/>
        <w:tc>
          <w:tcPr>
            <w:tcW w:w="1621"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Special mention</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5,781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ind w:left="0" w:right="0" w:hanging="0"/>
              <w:jc w:val="left"/>
              <w:rPr/>
            </w:pPr>
            <w:r>
              <w:rPr/>
              <w:t> </w:t>
            </w:r>
          </w:p>
        </w:tc>
        <w:tc>
          <w:tcPr>
            <w:tcW w:w="114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6,137</w:t>
            </w:r>
          </w:p>
        </w:tc>
        <w:tc>
          <w:tcPr>
            <w:tcW w:w="76" w:type="dxa"/>
            <w:tcBorders/>
            <w:shd w:fill="FFFFFF" w:val="clear"/>
            <w:vAlign w:val="center"/>
          </w:tcPr>
          <w:p>
            <w:pPr>
              <w:pStyle w:val="TableContents"/>
              <w:bidi w:val="0"/>
              <w:spacing w:before="0" w:after="283"/>
              <w:jc w:val="left"/>
              <w:rPr/>
            </w:pPr>
            <w:r>
              <w:rPr/>
              <w:t> </w:t>
            </w:r>
          </w:p>
        </w:tc>
      </w:tr>
      <w:tr>
        <w:trPr/>
        <w:tc>
          <w:tcPr>
            <w:tcW w:w="1621"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Substandard</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ind w:left="0" w:right="0" w:hanging="0"/>
              <w:jc w:val="left"/>
              <w:rPr/>
            </w:pPr>
            <w:r>
              <w:rPr/>
              <w:t> </w:t>
            </w:r>
          </w:p>
        </w:tc>
        <w:tc>
          <w:tcPr>
            <w:tcW w:w="114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6,805</w:t>
            </w:r>
          </w:p>
        </w:tc>
        <w:tc>
          <w:tcPr>
            <w:tcW w:w="76" w:type="dxa"/>
            <w:tcBorders/>
            <w:shd w:fill="CCEEFF" w:val="clear"/>
            <w:vAlign w:val="center"/>
          </w:tcPr>
          <w:p>
            <w:pPr>
              <w:pStyle w:val="TableContents"/>
              <w:bidi w:val="0"/>
              <w:spacing w:before="0" w:after="283"/>
              <w:jc w:val="left"/>
              <w:rPr/>
            </w:pPr>
            <w:r>
              <w:rPr/>
              <w:t> </w:t>
            </w:r>
          </w:p>
        </w:tc>
      </w:tr>
      <w:tr>
        <w:trPr/>
        <w:tc>
          <w:tcPr>
            <w:tcW w:w="1621"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Doubtful</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76" w:type="dxa"/>
            <w:tcBorders/>
            <w:shd w:fill="FFFFFF" w:val="clear"/>
            <w:vAlign w:val="center"/>
          </w:tcPr>
          <w:p>
            <w:pPr>
              <w:pStyle w:val="TableContents"/>
              <w:bidi w:val="0"/>
              <w:spacing w:before="0" w:after="283"/>
              <w:jc w:val="left"/>
              <w:rPr/>
            </w:pPr>
            <w:r>
              <w:rPr/>
              <w:t> </w:t>
            </w:r>
          </w:p>
        </w:tc>
      </w:tr>
      <w:tr>
        <w:trPr/>
        <w:tc>
          <w:tcPr>
            <w:tcW w:w="1621" w:type="dxa"/>
            <w:tcBorders/>
            <w:shd w:fill="CCEEFF" w:val="clear"/>
            <w:vAlign w:val="center"/>
          </w:tcPr>
          <w:p>
            <w:pPr>
              <w:pStyle w:val="TableContents"/>
              <w:bidi w:val="0"/>
              <w:spacing w:before="0" w:after="0"/>
              <w:ind w:left="54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8,740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4,888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9,940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21,832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114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49,667</w:t>
            </w:r>
          </w:p>
        </w:tc>
        <w:tc>
          <w:tcPr>
            <w:tcW w:w="76" w:type="dxa"/>
            <w:tcBorders/>
            <w:shd w:fill="CCEEFF" w:val="clear"/>
            <w:vAlign w:val="center"/>
          </w:tcPr>
          <w:p>
            <w:pPr>
              <w:pStyle w:val="TableContents"/>
              <w:bidi w:val="0"/>
              <w:spacing w:before="0" w:after="283"/>
              <w:jc w:val="left"/>
              <w:rPr/>
            </w:pPr>
            <w:r>
              <w:rPr/>
              <w:t> </w:t>
            </w:r>
          </w:p>
        </w:tc>
      </w:tr>
      <w:tr>
        <w:trPr/>
        <w:tc>
          <w:tcPr>
            <w:tcW w:w="1621"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YTD gross charge-offs</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4"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114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w:t>
            </w:r>
          </w:p>
        </w:tc>
        <w:tc>
          <w:tcPr>
            <w:tcW w:w="76" w:type="dxa"/>
            <w:tcBorders/>
            <w:shd w:fill="FFFFFF" w:val="clear"/>
            <w:vAlign w:val="center"/>
          </w:tcPr>
          <w:p>
            <w:pPr>
              <w:pStyle w:val="TableContents"/>
              <w:bidi w:val="0"/>
              <w:spacing w:before="0" w:after="283"/>
              <w:jc w:val="left"/>
              <w:rPr/>
            </w:pPr>
            <w:r>
              <w:rPr/>
              <w:t> </w:t>
            </w:r>
          </w:p>
        </w:tc>
      </w:tr>
      <w:tr>
        <w:trPr/>
        <w:tc>
          <w:tcPr>
            <w:tcW w:w="1621"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Other:</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1621"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Pass</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4"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114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3,359</w:t>
            </w:r>
          </w:p>
        </w:tc>
        <w:tc>
          <w:tcPr>
            <w:tcW w:w="76" w:type="dxa"/>
            <w:tcBorders/>
            <w:shd w:fill="FFFFFF" w:val="clear"/>
            <w:vAlign w:val="center"/>
          </w:tcPr>
          <w:p>
            <w:pPr>
              <w:pStyle w:val="TableContents"/>
              <w:bidi w:val="0"/>
              <w:spacing w:before="0" w:after="283"/>
              <w:jc w:val="left"/>
              <w:rPr/>
            </w:pPr>
            <w:r>
              <w:rPr/>
              <w:t> </w:t>
            </w:r>
          </w:p>
        </w:tc>
      </w:tr>
      <w:tr>
        <w:trPr/>
        <w:tc>
          <w:tcPr>
            <w:tcW w:w="1621"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Special mention</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ind w:left="0" w:right="0" w:hanging="0"/>
              <w:jc w:val="left"/>
              <w:rPr/>
            </w:pPr>
            <w:r>
              <w:rPr/>
              <w:t> </w:t>
            </w:r>
          </w:p>
        </w:tc>
        <w:tc>
          <w:tcPr>
            <w:tcW w:w="114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t>—</w:t>
            </w:r>
          </w:p>
        </w:tc>
        <w:tc>
          <w:tcPr>
            <w:tcW w:w="76" w:type="dxa"/>
            <w:tcBorders/>
            <w:shd w:fill="CCEEFF" w:val="clear"/>
            <w:vAlign w:val="center"/>
          </w:tcPr>
          <w:p>
            <w:pPr>
              <w:pStyle w:val="TableContents"/>
              <w:bidi w:val="0"/>
              <w:spacing w:before="0" w:after="283"/>
              <w:jc w:val="left"/>
              <w:rPr/>
            </w:pPr>
            <w:r>
              <w:rPr/>
              <w:t> </w:t>
            </w:r>
          </w:p>
        </w:tc>
      </w:tr>
      <w:tr>
        <w:trPr/>
        <w:tc>
          <w:tcPr>
            <w:tcW w:w="1621"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Substandard</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ind w:left="0" w:right="0" w:hanging="0"/>
              <w:jc w:val="left"/>
              <w:rPr/>
            </w:pPr>
            <w:r>
              <w:rPr/>
              <w:t> </w:t>
            </w:r>
          </w:p>
        </w:tc>
        <w:tc>
          <w:tcPr>
            <w:tcW w:w="114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w:t>
            </w:r>
          </w:p>
        </w:tc>
        <w:tc>
          <w:tcPr>
            <w:tcW w:w="76" w:type="dxa"/>
            <w:tcBorders/>
            <w:shd w:fill="FFFFFF" w:val="clear"/>
            <w:vAlign w:val="center"/>
          </w:tcPr>
          <w:p>
            <w:pPr>
              <w:pStyle w:val="TableContents"/>
              <w:bidi w:val="0"/>
              <w:spacing w:before="0" w:after="283"/>
              <w:jc w:val="left"/>
              <w:rPr/>
            </w:pPr>
            <w:r>
              <w:rPr/>
              <w:t> </w:t>
            </w:r>
          </w:p>
        </w:tc>
      </w:tr>
      <w:tr>
        <w:trPr/>
        <w:tc>
          <w:tcPr>
            <w:tcW w:w="1621"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Doubtful</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76" w:type="dxa"/>
            <w:tcBorders/>
            <w:shd w:fill="CCEEFF" w:val="clear"/>
            <w:vAlign w:val="center"/>
          </w:tcPr>
          <w:p>
            <w:pPr>
              <w:pStyle w:val="TableContents"/>
              <w:bidi w:val="0"/>
              <w:spacing w:before="0" w:after="283"/>
              <w:jc w:val="left"/>
              <w:rPr/>
            </w:pPr>
            <w:r>
              <w:rPr/>
              <w:t> </w:t>
            </w:r>
          </w:p>
        </w:tc>
      </w:tr>
      <w:tr>
        <w:trPr/>
        <w:tc>
          <w:tcPr>
            <w:tcW w:w="1621" w:type="dxa"/>
            <w:tcBorders/>
            <w:shd w:fill="FFFFFF" w:val="clear"/>
            <w:vAlign w:val="center"/>
          </w:tcPr>
          <w:p>
            <w:pPr>
              <w:pStyle w:val="TableContents"/>
              <w:bidi w:val="0"/>
              <w:spacing w:before="0" w:after="0"/>
              <w:ind w:left="54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114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3,364</w:t>
            </w:r>
          </w:p>
        </w:tc>
        <w:tc>
          <w:tcPr>
            <w:tcW w:w="76" w:type="dxa"/>
            <w:tcBorders/>
            <w:shd w:fill="FFFFFF" w:val="clear"/>
            <w:vAlign w:val="center"/>
          </w:tcPr>
          <w:p>
            <w:pPr>
              <w:pStyle w:val="TableContents"/>
              <w:bidi w:val="0"/>
              <w:spacing w:before="0" w:after="283"/>
              <w:jc w:val="left"/>
              <w:rPr/>
            </w:pPr>
            <w:r>
              <w:rPr/>
              <w:t> </w:t>
            </w:r>
          </w:p>
        </w:tc>
      </w:tr>
      <w:tr>
        <w:trPr/>
        <w:tc>
          <w:tcPr>
            <w:tcW w:w="1621"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YTD gross charge-offs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4"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114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w:t>
            </w:r>
          </w:p>
        </w:tc>
        <w:tc>
          <w:tcPr>
            <w:tcW w:w="76" w:type="dxa"/>
            <w:tcBorders/>
            <w:shd w:fill="CCEEFF" w:val="clear"/>
            <w:vAlign w:val="center"/>
          </w:tcPr>
          <w:p>
            <w:pPr>
              <w:pStyle w:val="TableContents"/>
              <w:bidi w:val="0"/>
              <w:spacing w:before="0" w:after="283"/>
              <w:jc w:val="left"/>
              <w:rPr/>
            </w:pPr>
            <w:r>
              <w:rPr/>
              <w:t> </w:t>
            </w:r>
          </w:p>
        </w:tc>
      </w:tr>
      <w:tr>
        <w:trPr/>
        <w:tc>
          <w:tcPr>
            <w:tcW w:w="1621" w:type="dxa"/>
            <w:tcBorders/>
            <w:shd w:fill="FFFFFF" w:val="clear"/>
            <w:vAlign w:val="center"/>
          </w:tcPr>
          <w:p>
            <w:pPr>
              <w:pStyle w:val="TableContents"/>
              <w:bidi w:val="0"/>
              <w:spacing w:before="0" w:after="0"/>
              <w:ind w:left="18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Total by risk rating:</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1621"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Pass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289,395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596,445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255,894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159,789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907,906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894,778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123,448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4"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114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3,227,655</w:t>
            </w:r>
          </w:p>
        </w:tc>
        <w:tc>
          <w:tcPr>
            <w:tcW w:w="76" w:type="dxa"/>
            <w:tcBorders/>
            <w:shd w:fill="CCEEFF" w:val="clear"/>
            <w:vAlign w:val="center"/>
          </w:tcPr>
          <w:p>
            <w:pPr>
              <w:pStyle w:val="TableContents"/>
              <w:bidi w:val="0"/>
              <w:spacing w:before="0" w:after="283"/>
              <w:jc w:val="left"/>
              <w:rPr/>
            </w:pPr>
            <w:r>
              <w:rPr/>
              <w:t> </w:t>
            </w:r>
          </w:p>
        </w:tc>
      </w:tr>
      <w:tr>
        <w:trPr/>
        <w:tc>
          <w:tcPr>
            <w:tcW w:w="1621"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Special mention</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10,810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8,363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ind w:left="0" w:right="0" w:hanging="0"/>
              <w:jc w:val="left"/>
              <w:rPr/>
            </w:pPr>
            <w:r>
              <w:rPr/>
              <w:t> </w:t>
            </w:r>
          </w:p>
        </w:tc>
        <w:tc>
          <w:tcPr>
            <w:tcW w:w="114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20,275</w:t>
            </w:r>
          </w:p>
        </w:tc>
        <w:tc>
          <w:tcPr>
            <w:tcW w:w="76" w:type="dxa"/>
            <w:tcBorders/>
            <w:shd w:fill="FFFFFF" w:val="clear"/>
            <w:vAlign w:val="center"/>
          </w:tcPr>
          <w:p>
            <w:pPr>
              <w:pStyle w:val="TableContents"/>
              <w:bidi w:val="0"/>
              <w:spacing w:before="0" w:after="283"/>
              <w:jc w:val="left"/>
              <w:rPr/>
            </w:pPr>
            <w:r>
              <w:rPr/>
              <w:t> </w:t>
            </w:r>
          </w:p>
        </w:tc>
      </w:tr>
      <w:tr>
        <w:trPr/>
        <w:tc>
          <w:tcPr>
            <w:tcW w:w="1621"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Substandard</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11,473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44,659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ind w:left="0" w:right="0" w:hanging="0"/>
              <w:jc w:val="left"/>
              <w:rPr/>
            </w:pPr>
            <w:r>
              <w:rPr/>
              <w:t> </w:t>
            </w:r>
          </w:p>
        </w:tc>
        <w:tc>
          <w:tcPr>
            <w:tcW w:w="114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61,529</w:t>
            </w:r>
          </w:p>
        </w:tc>
        <w:tc>
          <w:tcPr>
            <w:tcW w:w="76" w:type="dxa"/>
            <w:tcBorders/>
            <w:shd w:fill="CCEEFF" w:val="clear"/>
            <w:vAlign w:val="center"/>
          </w:tcPr>
          <w:p>
            <w:pPr>
              <w:pStyle w:val="TableContents"/>
              <w:bidi w:val="0"/>
              <w:spacing w:before="0" w:after="283"/>
              <w:jc w:val="left"/>
              <w:rPr/>
            </w:pPr>
            <w:r>
              <w:rPr/>
              <w:t> </w:t>
            </w:r>
          </w:p>
        </w:tc>
      </w:tr>
      <w:tr>
        <w:trPr/>
        <w:tc>
          <w:tcPr>
            <w:tcW w:w="1621"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Doubtful</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76" w:type="dxa"/>
            <w:tcBorders/>
            <w:shd w:fill="FFFFFF" w:val="clear"/>
            <w:vAlign w:val="center"/>
          </w:tcPr>
          <w:p>
            <w:pPr>
              <w:pStyle w:val="TableContents"/>
              <w:bidi w:val="0"/>
              <w:spacing w:before="0" w:after="283"/>
              <w:jc w:val="left"/>
              <w:rPr/>
            </w:pPr>
            <w:r>
              <w:rPr/>
              <w:t> </w:t>
            </w:r>
          </w:p>
        </w:tc>
      </w:tr>
      <w:tr>
        <w:trPr/>
        <w:tc>
          <w:tcPr>
            <w:tcW w:w="1621" w:type="dxa"/>
            <w:tcBorders/>
            <w:shd w:fill="CCEEFF" w:val="clear"/>
            <w:vAlign w:val="center"/>
          </w:tcPr>
          <w:p>
            <w:pPr>
              <w:pStyle w:val="TableContents"/>
              <w:bidi w:val="0"/>
              <w:spacing w:before="0" w:after="0"/>
              <w:ind w:left="54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Total loans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289,398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596,852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268,086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160,854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921,186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947,800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125,283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114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3,309,459</w:t>
            </w:r>
          </w:p>
        </w:tc>
        <w:tc>
          <w:tcPr>
            <w:tcW w:w="76" w:type="dxa"/>
            <w:tcBorders/>
            <w:shd w:fill="CCEEFF" w:val="clear"/>
            <w:vAlign w:val="center"/>
          </w:tcPr>
          <w:p>
            <w:pPr>
              <w:pStyle w:val="TableContents"/>
              <w:bidi w:val="0"/>
              <w:spacing w:before="0" w:after="283"/>
              <w:jc w:val="left"/>
              <w:rPr/>
            </w:pPr>
            <w:r>
              <w:rPr/>
              <w:t> </w:t>
            </w:r>
          </w:p>
        </w:tc>
      </w:tr>
      <w:tr>
        <w:trPr/>
        <w:tc>
          <w:tcPr>
            <w:tcW w:w="1621" w:type="dxa"/>
            <w:tcBorders/>
            <w:shd w:fill="FFFFFF" w:val="clear"/>
            <w:vAlign w:val="center"/>
          </w:tcPr>
          <w:p>
            <w:pPr>
              <w:pStyle w:val="TableContents"/>
              <w:bidi w:val="0"/>
              <w:spacing w:before="0" w:after="0"/>
              <w:ind w:left="54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Total YTD gross charge-offs</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114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146</w:t>
            </w:r>
          </w:p>
        </w:tc>
        <w:tc>
          <w:tcPr>
            <w:tcW w:w="76"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1578"/>
        <w:gridCol w:w="60"/>
        <w:gridCol w:w="110"/>
        <w:gridCol w:w="605"/>
        <w:gridCol w:w="60"/>
        <w:gridCol w:w="60"/>
        <w:gridCol w:w="110"/>
        <w:gridCol w:w="605"/>
        <w:gridCol w:w="60"/>
        <w:gridCol w:w="60"/>
        <w:gridCol w:w="110"/>
        <w:gridCol w:w="605"/>
        <w:gridCol w:w="60"/>
        <w:gridCol w:w="60"/>
        <w:gridCol w:w="110"/>
        <w:gridCol w:w="605"/>
        <w:gridCol w:w="60"/>
        <w:gridCol w:w="60"/>
        <w:gridCol w:w="110"/>
        <w:gridCol w:w="605"/>
        <w:gridCol w:w="60"/>
        <w:gridCol w:w="60"/>
        <w:gridCol w:w="110"/>
        <w:gridCol w:w="605"/>
        <w:gridCol w:w="60"/>
        <w:gridCol w:w="60"/>
        <w:gridCol w:w="110"/>
        <w:gridCol w:w="605"/>
        <w:gridCol w:w="60"/>
        <w:gridCol w:w="60"/>
        <w:gridCol w:w="496"/>
        <w:gridCol w:w="1179"/>
        <w:gridCol w:w="60"/>
        <w:gridCol w:w="60"/>
        <w:gridCol w:w="110"/>
        <w:gridCol w:w="740"/>
        <w:gridCol w:w="77"/>
      </w:tblGrid>
      <w:tr>
        <w:trPr/>
        <w:tc>
          <w:tcPr>
            <w:tcW w:w="157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90"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Term Loan by Vintage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left"/>
              <w:rPr/>
            </w:pPr>
            <w:r>
              <w:rPr/>
              <w:t> </w:t>
            </w:r>
          </w:p>
        </w:tc>
        <w:tc>
          <w:tcPr>
            <w:tcW w:w="1179"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77" w:type="dxa"/>
            <w:tcBorders/>
            <w:shd w:fill="FFFFFF" w:val="clear"/>
            <w:vAlign w:val="center"/>
          </w:tcPr>
          <w:p>
            <w:pPr>
              <w:pStyle w:val="TableContents"/>
              <w:bidi w:val="0"/>
              <w:spacing w:before="0" w:after="283"/>
              <w:jc w:val="left"/>
              <w:rPr/>
            </w:pPr>
            <w:r>
              <w:rPr/>
              <w:t> </w:t>
            </w:r>
          </w:p>
        </w:tc>
      </w:tr>
      <w:tr>
        <w:trPr/>
        <w:tc>
          <w:tcPr>
            <w:tcW w:w="157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December 31, 2025</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Prior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Revolving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Revolving Converted to Term During the Period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Total</w:t>
            </w:r>
          </w:p>
        </w:tc>
        <w:tc>
          <w:tcPr>
            <w:tcW w:w="77" w:type="dxa"/>
            <w:tcBorders/>
            <w:shd w:fill="FFFFFF" w:val="clear"/>
            <w:vAlign w:val="center"/>
          </w:tcPr>
          <w:p>
            <w:pPr>
              <w:pStyle w:val="TableContents"/>
              <w:bidi w:val="0"/>
              <w:spacing w:before="0" w:after="283"/>
              <w:jc w:val="left"/>
              <w:rPr/>
            </w:pPr>
            <w:r>
              <w:rPr/>
              <w:t> </w:t>
            </w:r>
          </w:p>
        </w:tc>
      </w:tr>
      <w:tr>
        <w:trPr/>
        <w:tc>
          <w:tcPr>
            <w:tcW w:w="1578" w:type="dxa"/>
            <w:tcBorders/>
            <w:shd w:fill="FFFF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Real estate:</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8380" w:type="dxa"/>
            <w:gridSpan w:val="33"/>
            <w:tcBorders/>
            <w:shd w:fill="FFFFFF" w:val="clear"/>
            <w:vAlign w:val="center"/>
          </w:tcPr>
          <w:p>
            <w:pPr>
              <w:pStyle w:val="TableContents"/>
              <w:bidi w:val="0"/>
              <w:spacing w:before="0" w:after="0"/>
              <w:jc w:val="center"/>
              <w:rPr/>
            </w:pPr>
            <w:r>
              <w:rPr>
                <w:rStyle w:val="Emphasis"/>
                <w:rFonts w:ascii="Times New Roman;Times;serif" w:hAnsi="Times New Roman;Times;serif"/>
                <w:b/>
                <w:i/>
                <w:sz w:val="16"/>
              </w:rPr>
              <w:t>(dollars in thousands)</w:t>
            </w:r>
          </w:p>
        </w:tc>
        <w:tc>
          <w:tcPr>
            <w:tcW w:w="77" w:type="dxa"/>
            <w:tcBorders/>
            <w:shd w:fill="FFFFFF" w:val="clear"/>
            <w:vAlign w:val="center"/>
          </w:tcPr>
          <w:p>
            <w:pPr>
              <w:pStyle w:val="TableContents"/>
              <w:bidi w:val="0"/>
              <w:spacing w:before="0" w:after="283"/>
              <w:jc w:val="left"/>
              <w:rPr/>
            </w:pPr>
            <w:r>
              <w:rPr/>
              <w:t> </w:t>
            </w:r>
          </w:p>
        </w:tc>
      </w:tr>
      <w:tr>
        <w:trPr/>
        <w:tc>
          <w:tcPr>
            <w:tcW w:w="1578" w:type="dxa"/>
            <w:tcBorders/>
            <w:shd w:fill="CCEEFF" w:val="clear"/>
            <w:vAlign w:val="center"/>
          </w:tcPr>
          <w:p>
            <w:pPr>
              <w:pStyle w:val="TableContents"/>
              <w:bidi w:val="0"/>
              <w:spacing w:before="0" w:after="0"/>
              <w:ind w:left="18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Single-family residential mortgages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1578"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Pass</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369,196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98,047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122,104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501,580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209,318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351,536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96"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117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1,652,759</w:t>
            </w:r>
          </w:p>
        </w:tc>
        <w:tc>
          <w:tcPr>
            <w:tcW w:w="77" w:type="dxa"/>
            <w:tcBorders/>
            <w:shd w:fill="FFFFFF" w:val="clear"/>
            <w:vAlign w:val="center"/>
          </w:tcPr>
          <w:p>
            <w:pPr>
              <w:pStyle w:val="TableContents"/>
              <w:bidi w:val="0"/>
              <w:spacing w:before="0" w:after="283"/>
              <w:jc w:val="left"/>
              <w:rPr/>
            </w:pPr>
            <w:r>
              <w:rPr/>
              <w:t> </w:t>
            </w:r>
          </w:p>
        </w:tc>
      </w:tr>
      <w:tr>
        <w:trPr/>
        <w:tc>
          <w:tcPr>
            <w:tcW w:w="1578"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Special mention</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ind w:left="0" w:right="0" w:hanging="0"/>
              <w:jc w:val="left"/>
              <w:rPr/>
            </w:pPr>
            <w:r>
              <w:rPr/>
              <w:t> </w:t>
            </w:r>
          </w:p>
        </w:tc>
        <w:tc>
          <w:tcPr>
            <w:tcW w:w="117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t>—</w:t>
            </w:r>
          </w:p>
        </w:tc>
        <w:tc>
          <w:tcPr>
            <w:tcW w:w="77" w:type="dxa"/>
            <w:tcBorders/>
            <w:shd w:fill="CCEEFF" w:val="clear"/>
            <w:vAlign w:val="center"/>
          </w:tcPr>
          <w:p>
            <w:pPr>
              <w:pStyle w:val="TableContents"/>
              <w:bidi w:val="0"/>
              <w:spacing w:before="0" w:after="283"/>
              <w:jc w:val="left"/>
              <w:rPr/>
            </w:pPr>
            <w:r>
              <w:rPr/>
              <w:t> </w:t>
            </w:r>
          </w:p>
        </w:tc>
      </w:tr>
      <w:tr>
        <w:trPr/>
        <w:tc>
          <w:tcPr>
            <w:tcW w:w="1578"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Substandard</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ind w:left="0" w:right="0" w:hanging="0"/>
              <w:jc w:val="left"/>
              <w:rPr/>
            </w:pPr>
            <w:r>
              <w:rPr/>
              <w:t> </w:t>
            </w:r>
          </w:p>
        </w:tc>
        <w:tc>
          <w:tcPr>
            <w:tcW w:w="117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2,623</w:t>
            </w:r>
          </w:p>
        </w:tc>
        <w:tc>
          <w:tcPr>
            <w:tcW w:w="77" w:type="dxa"/>
            <w:tcBorders/>
            <w:shd w:fill="FFFFFF" w:val="clear"/>
            <w:vAlign w:val="center"/>
          </w:tcPr>
          <w:p>
            <w:pPr>
              <w:pStyle w:val="TableContents"/>
              <w:bidi w:val="0"/>
              <w:spacing w:before="0" w:after="283"/>
              <w:jc w:val="left"/>
              <w:rPr/>
            </w:pPr>
            <w:r>
              <w:rPr/>
              <w:t> </w:t>
            </w:r>
          </w:p>
        </w:tc>
      </w:tr>
      <w:tr>
        <w:trPr/>
        <w:tc>
          <w:tcPr>
            <w:tcW w:w="1578"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Doubtful</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77" w:type="dxa"/>
            <w:tcBorders/>
            <w:shd w:fill="CCEEFF" w:val="clear"/>
            <w:vAlign w:val="center"/>
          </w:tcPr>
          <w:p>
            <w:pPr>
              <w:pStyle w:val="TableContents"/>
              <w:bidi w:val="0"/>
              <w:spacing w:before="0" w:after="283"/>
              <w:jc w:val="left"/>
              <w:rPr/>
            </w:pPr>
            <w:r>
              <w:rPr/>
              <w:t> </w:t>
            </w:r>
          </w:p>
        </w:tc>
      </w:tr>
      <w:tr>
        <w:trPr/>
        <w:tc>
          <w:tcPr>
            <w:tcW w:w="1578" w:type="dxa"/>
            <w:tcBorders/>
            <w:shd w:fill="FFFFFF" w:val="clear"/>
            <w:vAlign w:val="center"/>
          </w:tcPr>
          <w:p>
            <w:pPr>
              <w:pStyle w:val="TableContents"/>
              <w:bidi w:val="0"/>
              <w:spacing w:before="0" w:after="0"/>
              <w:ind w:left="54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369,196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98,047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122,783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503,524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209,318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351,536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9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117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1,655,382</w:t>
            </w:r>
          </w:p>
        </w:tc>
        <w:tc>
          <w:tcPr>
            <w:tcW w:w="77" w:type="dxa"/>
            <w:tcBorders/>
            <w:shd w:fill="FFFFFF" w:val="clear"/>
            <w:vAlign w:val="center"/>
          </w:tcPr>
          <w:p>
            <w:pPr>
              <w:pStyle w:val="TableContents"/>
              <w:bidi w:val="0"/>
              <w:spacing w:before="0" w:after="283"/>
              <w:jc w:val="left"/>
              <w:rPr/>
            </w:pPr>
            <w:r>
              <w:rPr/>
              <w:t> </w:t>
            </w:r>
          </w:p>
        </w:tc>
      </w:tr>
      <w:tr>
        <w:trPr/>
        <w:tc>
          <w:tcPr>
            <w:tcW w:w="1578"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YTD gross charge-offs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96"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117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1,403</w:t>
            </w:r>
          </w:p>
        </w:tc>
        <w:tc>
          <w:tcPr>
            <w:tcW w:w="77" w:type="dxa"/>
            <w:tcBorders/>
            <w:shd w:fill="CCEEFF" w:val="clear"/>
            <w:vAlign w:val="center"/>
          </w:tcPr>
          <w:p>
            <w:pPr>
              <w:pStyle w:val="TableContents"/>
              <w:bidi w:val="0"/>
              <w:spacing w:before="0" w:after="283"/>
              <w:jc w:val="left"/>
              <w:rPr/>
            </w:pPr>
            <w:r>
              <w:rPr/>
              <w:t> </w:t>
            </w:r>
          </w:p>
        </w:tc>
      </w:tr>
      <w:tr>
        <w:trPr/>
        <w:tc>
          <w:tcPr>
            <w:tcW w:w="1578" w:type="dxa"/>
            <w:tcBorders/>
            <w:shd w:fill="FFFFFF" w:val="clear"/>
            <w:vAlign w:val="center"/>
          </w:tcPr>
          <w:p>
            <w:pPr>
              <w:pStyle w:val="TableContents"/>
              <w:bidi w:val="0"/>
              <w:spacing w:before="0" w:after="0"/>
              <w:ind w:left="18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Commercial real estate</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left"/>
              <w:rPr/>
            </w:pPr>
            <w:r>
              <w:rPr/>
              <w:t> </w:t>
            </w:r>
          </w:p>
        </w:tc>
        <w:tc>
          <w:tcPr>
            <w:tcW w:w="11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1578"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Pass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263,863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171,328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49,551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395,493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155,891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228,915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96"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117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1,265,041</w:t>
            </w:r>
          </w:p>
        </w:tc>
        <w:tc>
          <w:tcPr>
            <w:tcW w:w="77" w:type="dxa"/>
            <w:tcBorders/>
            <w:shd w:fill="CCEEFF" w:val="clear"/>
            <w:vAlign w:val="center"/>
          </w:tcPr>
          <w:p>
            <w:pPr>
              <w:pStyle w:val="TableContents"/>
              <w:bidi w:val="0"/>
              <w:spacing w:before="0" w:after="283"/>
              <w:jc w:val="left"/>
              <w:rPr/>
            </w:pPr>
            <w:r>
              <w:rPr/>
              <w:t> </w:t>
            </w:r>
          </w:p>
        </w:tc>
      </w:tr>
      <w:tr>
        <w:trPr/>
        <w:tc>
          <w:tcPr>
            <w:tcW w:w="1578"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Special mention</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8,281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ind w:left="0" w:right="0" w:hanging="0"/>
              <w:jc w:val="left"/>
              <w:rPr/>
            </w:pPr>
            <w:r>
              <w:rPr/>
              <w:t> </w:t>
            </w:r>
          </w:p>
        </w:tc>
        <w:tc>
          <w:tcPr>
            <w:tcW w:w="117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13,249</w:t>
            </w:r>
          </w:p>
        </w:tc>
        <w:tc>
          <w:tcPr>
            <w:tcW w:w="77" w:type="dxa"/>
            <w:tcBorders/>
            <w:shd w:fill="FFFFFF" w:val="clear"/>
            <w:vAlign w:val="center"/>
          </w:tcPr>
          <w:p>
            <w:pPr>
              <w:pStyle w:val="TableContents"/>
              <w:bidi w:val="0"/>
              <w:spacing w:before="0" w:after="283"/>
              <w:jc w:val="left"/>
              <w:rPr/>
            </w:pPr>
            <w:r>
              <w:rPr/>
              <w:t> </w:t>
            </w:r>
          </w:p>
        </w:tc>
      </w:tr>
      <w:tr>
        <w:trPr/>
        <w:tc>
          <w:tcPr>
            <w:tcW w:w="1578"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Substandard</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10,204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12,279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ind w:left="0" w:right="0" w:hanging="0"/>
              <w:jc w:val="left"/>
              <w:rPr/>
            </w:pPr>
            <w:r>
              <w:rPr/>
              <w:t> </w:t>
            </w:r>
          </w:p>
        </w:tc>
        <w:tc>
          <w:tcPr>
            <w:tcW w:w="117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24,729</w:t>
            </w:r>
          </w:p>
        </w:tc>
        <w:tc>
          <w:tcPr>
            <w:tcW w:w="77" w:type="dxa"/>
            <w:tcBorders/>
            <w:shd w:fill="CCEEFF" w:val="clear"/>
            <w:vAlign w:val="center"/>
          </w:tcPr>
          <w:p>
            <w:pPr>
              <w:pStyle w:val="TableContents"/>
              <w:bidi w:val="0"/>
              <w:spacing w:before="0" w:after="283"/>
              <w:jc w:val="left"/>
              <w:rPr/>
            </w:pPr>
            <w:r>
              <w:rPr/>
              <w:t> </w:t>
            </w:r>
          </w:p>
        </w:tc>
      </w:tr>
      <w:tr>
        <w:trPr/>
        <w:tc>
          <w:tcPr>
            <w:tcW w:w="1578"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Doubtful</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77" w:type="dxa"/>
            <w:tcBorders/>
            <w:shd w:fill="FFFFFF" w:val="clear"/>
            <w:vAlign w:val="center"/>
          </w:tcPr>
          <w:p>
            <w:pPr>
              <w:pStyle w:val="TableContents"/>
              <w:bidi w:val="0"/>
              <w:spacing w:before="0" w:after="283"/>
              <w:jc w:val="left"/>
              <w:rPr/>
            </w:pPr>
            <w:r>
              <w:rPr/>
              <w:t> </w:t>
            </w:r>
          </w:p>
        </w:tc>
      </w:tr>
      <w:tr>
        <w:trPr/>
        <w:tc>
          <w:tcPr>
            <w:tcW w:w="1578" w:type="dxa"/>
            <w:tcBorders/>
            <w:shd w:fill="CCEEFF" w:val="clear"/>
            <w:vAlign w:val="center"/>
          </w:tcPr>
          <w:p>
            <w:pPr>
              <w:pStyle w:val="TableContents"/>
              <w:bidi w:val="0"/>
              <w:spacing w:before="0" w:after="0"/>
              <w:ind w:left="54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263,863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171,996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49,551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401,371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166,763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249,475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9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117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1,303,019</w:t>
            </w:r>
          </w:p>
        </w:tc>
        <w:tc>
          <w:tcPr>
            <w:tcW w:w="77" w:type="dxa"/>
            <w:tcBorders/>
            <w:shd w:fill="CCEEFF" w:val="clear"/>
            <w:vAlign w:val="center"/>
          </w:tcPr>
          <w:p>
            <w:pPr>
              <w:pStyle w:val="TableContents"/>
              <w:bidi w:val="0"/>
              <w:spacing w:before="0" w:after="283"/>
              <w:jc w:val="left"/>
              <w:rPr/>
            </w:pPr>
            <w:r>
              <w:rPr/>
              <w:t> </w:t>
            </w:r>
          </w:p>
        </w:tc>
      </w:tr>
      <w:tr>
        <w:trPr/>
        <w:tc>
          <w:tcPr>
            <w:tcW w:w="1578"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YTD gross charge-offs</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96"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117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4,679</w:t>
            </w:r>
          </w:p>
        </w:tc>
        <w:tc>
          <w:tcPr>
            <w:tcW w:w="77" w:type="dxa"/>
            <w:tcBorders/>
            <w:shd w:fill="FFFFFF" w:val="clear"/>
            <w:vAlign w:val="center"/>
          </w:tcPr>
          <w:p>
            <w:pPr>
              <w:pStyle w:val="TableContents"/>
              <w:bidi w:val="0"/>
              <w:spacing w:before="0" w:after="283"/>
              <w:jc w:val="left"/>
              <w:rPr/>
            </w:pPr>
            <w:r>
              <w:rPr/>
              <w:t> </w:t>
            </w:r>
          </w:p>
        </w:tc>
      </w:tr>
      <w:tr>
        <w:trPr/>
        <w:tc>
          <w:tcPr>
            <w:tcW w:w="1578" w:type="dxa"/>
            <w:tcBorders/>
            <w:shd w:fill="CCEEFF" w:val="clear"/>
            <w:vAlign w:val="center"/>
          </w:tcPr>
          <w:p>
            <w:pPr>
              <w:pStyle w:val="TableContents"/>
              <w:bidi w:val="0"/>
              <w:spacing w:before="0" w:after="0"/>
              <w:ind w:left="18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Construction and land development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1578"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Pass</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4,739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28,059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42,440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96"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117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124,083</w:t>
            </w:r>
          </w:p>
        </w:tc>
        <w:tc>
          <w:tcPr>
            <w:tcW w:w="77" w:type="dxa"/>
            <w:tcBorders/>
            <w:shd w:fill="FFFFFF" w:val="clear"/>
            <w:vAlign w:val="center"/>
          </w:tcPr>
          <w:p>
            <w:pPr>
              <w:pStyle w:val="TableContents"/>
              <w:bidi w:val="0"/>
              <w:spacing w:before="0" w:after="283"/>
              <w:jc w:val="left"/>
              <w:rPr/>
            </w:pPr>
            <w:r>
              <w:rPr/>
              <w:t> </w:t>
            </w:r>
          </w:p>
        </w:tc>
      </w:tr>
      <w:tr>
        <w:trPr/>
        <w:tc>
          <w:tcPr>
            <w:tcW w:w="1578"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Special mention</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ind w:left="0" w:right="0" w:hanging="0"/>
              <w:jc w:val="left"/>
              <w:rPr/>
            </w:pPr>
            <w:r>
              <w:rPr/>
              <w:t> </w:t>
            </w:r>
          </w:p>
        </w:tc>
        <w:tc>
          <w:tcPr>
            <w:tcW w:w="117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3,387</w:t>
            </w:r>
          </w:p>
        </w:tc>
        <w:tc>
          <w:tcPr>
            <w:tcW w:w="77" w:type="dxa"/>
            <w:tcBorders/>
            <w:shd w:fill="CCEEFF" w:val="clear"/>
            <w:vAlign w:val="center"/>
          </w:tcPr>
          <w:p>
            <w:pPr>
              <w:pStyle w:val="TableContents"/>
              <w:bidi w:val="0"/>
              <w:spacing w:before="0" w:after="283"/>
              <w:jc w:val="left"/>
              <w:rPr/>
            </w:pPr>
            <w:r>
              <w:rPr/>
              <w:t> </w:t>
            </w:r>
          </w:p>
        </w:tc>
      </w:tr>
      <w:tr>
        <w:trPr/>
        <w:tc>
          <w:tcPr>
            <w:tcW w:w="1578"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Substandard</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19,465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8,529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ind w:left="0" w:right="0" w:hanging="0"/>
              <w:jc w:val="left"/>
              <w:rPr/>
            </w:pPr>
            <w:r>
              <w:rPr/>
              <w:t> </w:t>
            </w:r>
          </w:p>
        </w:tc>
        <w:tc>
          <w:tcPr>
            <w:tcW w:w="117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27,994</w:t>
            </w:r>
          </w:p>
        </w:tc>
        <w:tc>
          <w:tcPr>
            <w:tcW w:w="77" w:type="dxa"/>
            <w:tcBorders/>
            <w:shd w:fill="FFFFFF" w:val="clear"/>
            <w:vAlign w:val="center"/>
          </w:tcPr>
          <w:p>
            <w:pPr>
              <w:pStyle w:val="TableContents"/>
              <w:bidi w:val="0"/>
              <w:spacing w:before="0" w:after="283"/>
              <w:jc w:val="left"/>
              <w:rPr/>
            </w:pPr>
            <w:r>
              <w:rPr/>
              <w:t> </w:t>
            </w:r>
          </w:p>
        </w:tc>
      </w:tr>
      <w:tr>
        <w:trPr/>
        <w:tc>
          <w:tcPr>
            <w:tcW w:w="1578"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Doubtful</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77" w:type="dxa"/>
            <w:tcBorders/>
            <w:shd w:fill="CCEEFF" w:val="clear"/>
            <w:vAlign w:val="center"/>
          </w:tcPr>
          <w:p>
            <w:pPr>
              <w:pStyle w:val="TableContents"/>
              <w:bidi w:val="0"/>
              <w:spacing w:before="0" w:after="283"/>
              <w:jc w:val="left"/>
              <w:rPr/>
            </w:pPr>
            <w:r>
              <w:rPr/>
              <w:t> </w:t>
            </w:r>
          </w:p>
        </w:tc>
      </w:tr>
      <w:tr>
        <w:trPr/>
        <w:tc>
          <w:tcPr>
            <w:tcW w:w="1578" w:type="dxa"/>
            <w:tcBorders/>
            <w:shd w:fill="FFFFFF" w:val="clear"/>
            <w:vAlign w:val="center"/>
          </w:tcPr>
          <w:p>
            <w:pPr>
              <w:pStyle w:val="TableContents"/>
              <w:bidi w:val="0"/>
              <w:spacing w:before="0" w:after="0"/>
              <w:ind w:left="54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4,739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31,446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42,440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23,310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53,529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9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117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155,464</w:t>
            </w:r>
          </w:p>
        </w:tc>
        <w:tc>
          <w:tcPr>
            <w:tcW w:w="77" w:type="dxa"/>
            <w:tcBorders/>
            <w:shd w:fill="FFFFFF" w:val="clear"/>
            <w:vAlign w:val="center"/>
          </w:tcPr>
          <w:p>
            <w:pPr>
              <w:pStyle w:val="TableContents"/>
              <w:bidi w:val="0"/>
              <w:spacing w:before="0" w:after="283"/>
              <w:jc w:val="left"/>
              <w:rPr/>
            </w:pPr>
            <w:r>
              <w:rPr/>
              <w:t> </w:t>
            </w:r>
          </w:p>
        </w:tc>
      </w:tr>
      <w:tr>
        <w:trPr/>
        <w:tc>
          <w:tcPr>
            <w:tcW w:w="1578"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YTD gross charge-offs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6,929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96"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117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8,175</w:t>
            </w:r>
          </w:p>
        </w:tc>
        <w:tc>
          <w:tcPr>
            <w:tcW w:w="77" w:type="dxa"/>
            <w:tcBorders/>
            <w:shd w:fill="CCEEFF" w:val="clear"/>
            <w:vAlign w:val="center"/>
          </w:tcPr>
          <w:p>
            <w:pPr>
              <w:pStyle w:val="TableContents"/>
              <w:bidi w:val="0"/>
              <w:spacing w:before="0" w:after="283"/>
              <w:jc w:val="left"/>
              <w:rPr/>
            </w:pPr>
            <w:r>
              <w:rPr/>
              <w:t> </w:t>
            </w:r>
          </w:p>
        </w:tc>
      </w:tr>
      <w:tr>
        <w:trPr/>
        <w:tc>
          <w:tcPr>
            <w:tcW w:w="1578"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Commercial:</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left"/>
              <w:rPr/>
            </w:pPr>
            <w:r>
              <w:rPr/>
              <w:t> </w:t>
            </w:r>
          </w:p>
        </w:tc>
        <w:tc>
          <w:tcPr>
            <w:tcW w:w="11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1578" w:type="dxa"/>
            <w:tcBorders/>
            <w:shd w:fill="CCEEFF" w:val="clear"/>
            <w:vAlign w:val="center"/>
          </w:tcPr>
          <w:p>
            <w:pPr>
              <w:pStyle w:val="TableContents"/>
              <w:bidi w:val="0"/>
              <w:spacing w:before="0" w:after="0"/>
              <w:ind w:left="18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Commercial and industrial</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rStyle w:val="Emphasis"/>
              </w:rPr>
              <w:t>—</w:t>
            </w:r>
          </w:p>
        </w:tc>
        <w:tc>
          <w:tcPr>
            <w:tcW w:w="77" w:type="dxa"/>
            <w:tcBorders/>
            <w:shd w:fill="CCEEFF" w:val="clear"/>
            <w:vAlign w:val="center"/>
          </w:tcPr>
          <w:p>
            <w:pPr>
              <w:pStyle w:val="TableContents"/>
              <w:bidi w:val="0"/>
              <w:spacing w:before="0" w:after="283"/>
              <w:jc w:val="left"/>
              <w:rPr/>
            </w:pPr>
            <w:r>
              <w:rPr/>
              <w:t> </w:t>
            </w:r>
          </w:p>
        </w:tc>
      </w:tr>
      <w:tr>
        <w:trPr/>
        <w:tc>
          <w:tcPr>
            <w:tcW w:w="1578"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Pass</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13,681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5,839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99,594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96"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117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123,747</w:t>
            </w:r>
          </w:p>
        </w:tc>
        <w:tc>
          <w:tcPr>
            <w:tcW w:w="77" w:type="dxa"/>
            <w:tcBorders/>
            <w:shd w:fill="FFFFFF" w:val="clear"/>
            <w:vAlign w:val="center"/>
          </w:tcPr>
          <w:p>
            <w:pPr>
              <w:pStyle w:val="TableContents"/>
              <w:bidi w:val="0"/>
              <w:spacing w:before="0" w:after="283"/>
              <w:jc w:val="left"/>
              <w:rPr/>
            </w:pPr>
            <w:r>
              <w:rPr/>
              <w:t> </w:t>
            </w:r>
          </w:p>
        </w:tc>
      </w:tr>
      <w:tr>
        <w:trPr/>
        <w:tc>
          <w:tcPr>
            <w:tcW w:w="1578"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Special mention</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ind w:left="0" w:right="0" w:hanging="0"/>
              <w:jc w:val="left"/>
              <w:rPr/>
            </w:pPr>
            <w:r>
              <w:rPr/>
              <w:t> </w:t>
            </w:r>
          </w:p>
        </w:tc>
        <w:tc>
          <w:tcPr>
            <w:tcW w:w="117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2,247</w:t>
            </w:r>
          </w:p>
        </w:tc>
        <w:tc>
          <w:tcPr>
            <w:tcW w:w="77" w:type="dxa"/>
            <w:tcBorders/>
            <w:shd w:fill="CCEEFF" w:val="clear"/>
            <w:vAlign w:val="center"/>
          </w:tcPr>
          <w:p>
            <w:pPr>
              <w:pStyle w:val="TableContents"/>
              <w:bidi w:val="0"/>
              <w:spacing w:before="0" w:after="283"/>
              <w:jc w:val="left"/>
              <w:rPr/>
            </w:pPr>
            <w:r>
              <w:rPr/>
              <w:t> </w:t>
            </w:r>
          </w:p>
        </w:tc>
      </w:tr>
      <w:tr>
        <w:trPr/>
        <w:tc>
          <w:tcPr>
            <w:tcW w:w="1578"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Substandard</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6,014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5,423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ind w:left="0" w:right="0" w:hanging="0"/>
              <w:jc w:val="left"/>
              <w:rPr/>
            </w:pPr>
            <w:r>
              <w:rPr/>
              <w:t> </w:t>
            </w:r>
          </w:p>
        </w:tc>
        <w:tc>
          <w:tcPr>
            <w:tcW w:w="117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14,067</w:t>
            </w:r>
          </w:p>
        </w:tc>
        <w:tc>
          <w:tcPr>
            <w:tcW w:w="77" w:type="dxa"/>
            <w:tcBorders/>
            <w:shd w:fill="FFFFFF" w:val="clear"/>
            <w:vAlign w:val="center"/>
          </w:tcPr>
          <w:p>
            <w:pPr>
              <w:pStyle w:val="TableContents"/>
              <w:bidi w:val="0"/>
              <w:spacing w:before="0" w:after="283"/>
              <w:jc w:val="left"/>
              <w:rPr/>
            </w:pPr>
            <w:r>
              <w:rPr/>
              <w:t> </w:t>
            </w:r>
          </w:p>
        </w:tc>
      </w:tr>
      <w:tr>
        <w:trPr/>
        <w:tc>
          <w:tcPr>
            <w:tcW w:w="1578"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Doubtful</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77" w:type="dxa"/>
            <w:tcBorders/>
            <w:shd w:fill="CCEEFF" w:val="clear"/>
            <w:vAlign w:val="center"/>
          </w:tcPr>
          <w:p>
            <w:pPr>
              <w:pStyle w:val="TableContents"/>
              <w:bidi w:val="0"/>
              <w:spacing w:before="0" w:after="283"/>
              <w:jc w:val="left"/>
              <w:rPr/>
            </w:pPr>
            <w:r>
              <w:rPr/>
              <w:t> </w:t>
            </w:r>
          </w:p>
        </w:tc>
      </w:tr>
      <w:tr>
        <w:trPr/>
        <w:tc>
          <w:tcPr>
            <w:tcW w:w="1578" w:type="dxa"/>
            <w:tcBorders/>
            <w:shd w:fill="FFFFFF" w:val="clear"/>
            <w:vAlign w:val="center"/>
          </w:tcPr>
          <w:p>
            <w:pPr>
              <w:pStyle w:val="TableContents"/>
              <w:bidi w:val="0"/>
              <w:spacing w:before="0" w:after="0"/>
              <w:ind w:left="54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14,094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6,069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11,262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104,001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9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117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140,061</w:t>
            </w:r>
          </w:p>
        </w:tc>
        <w:tc>
          <w:tcPr>
            <w:tcW w:w="77" w:type="dxa"/>
            <w:tcBorders/>
            <w:shd w:fill="FFFFFF" w:val="clear"/>
            <w:vAlign w:val="center"/>
          </w:tcPr>
          <w:p>
            <w:pPr>
              <w:pStyle w:val="TableContents"/>
              <w:bidi w:val="0"/>
              <w:spacing w:before="0" w:after="283"/>
              <w:jc w:val="left"/>
              <w:rPr/>
            </w:pPr>
            <w:r>
              <w:rPr/>
              <w:t> </w:t>
            </w:r>
          </w:p>
        </w:tc>
      </w:tr>
      <w:tr>
        <w:trPr/>
        <w:tc>
          <w:tcPr>
            <w:tcW w:w="1578"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YTD gross charge-offs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96"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117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88</w:t>
            </w:r>
          </w:p>
        </w:tc>
        <w:tc>
          <w:tcPr>
            <w:tcW w:w="77" w:type="dxa"/>
            <w:tcBorders/>
            <w:shd w:fill="CCEEFF" w:val="clear"/>
            <w:vAlign w:val="center"/>
          </w:tcPr>
          <w:p>
            <w:pPr>
              <w:pStyle w:val="TableContents"/>
              <w:bidi w:val="0"/>
              <w:spacing w:before="0" w:after="283"/>
              <w:jc w:val="left"/>
              <w:rPr/>
            </w:pPr>
            <w:r>
              <w:rPr/>
              <w:t> </w:t>
            </w:r>
          </w:p>
        </w:tc>
      </w:tr>
      <w:tr>
        <w:trPr/>
        <w:tc>
          <w:tcPr>
            <w:tcW w:w="1578" w:type="dxa"/>
            <w:tcBorders/>
            <w:shd w:fill="FFFFFF" w:val="clear"/>
            <w:vAlign w:val="center"/>
          </w:tcPr>
          <w:p>
            <w:pPr>
              <w:pStyle w:val="TableContents"/>
              <w:bidi w:val="0"/>
              <w:spacing w:before="0" w:after="0"/>
              <w:ind w:left="18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SBA</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left"/>
              <w:rPr/>
            </w:pPr>
            <w:r>
              <w:rPr/>
              <w:t> </w:t>
            </w:r>
          </w:p>
        </w:tc>
        <w:tc>
          <w:tcPr>
            <w:tcW w:w="11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1578"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Pass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14,433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10,718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9,655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10,939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96"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117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49,862</w:t>
            </w:r>
          </w:p>
        </w:tc>
        <w:tc>
          <w:tcPr>
            <w:tcW w:w="77" w:type="dxa"/>
            <w:tcBorders/>
            <w:shd w:fill="CCEEFF" w:val="clear"/>
            <w:vAlign w:val="center"/>
          </w:tcPr>
          <w:p>
            <w:pPr>
              <w:pStyle w:val="TableContents"/>
              <w:bidi w:val="0"/>
              <w:spacing w:before="0" w:after="283"/>
              <w:jc w:val="left"/>
              <w:rPr/>
            </w:pPr>
            <w:r>
              <w:rPr/>
              <w:t> </w:t>
            </w:r>
          </w:p>
        </w:tc>
      </w:tr>
      <w:tr>
        <w:trPr/>
        <w:tc>
          <w:tcPr>
            <w:tcW w:w="1578"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Special mention</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ind w:left="0" w:right="0" w:hanging="0"/>
              <w:jc w:val="left"/>
              <w:rPr/>
            </w:pPr>
            <w:r>
              <w:rPr/>
              <w:t> </w:t>
            </w:r>
          </w:p>
        </w:tc>
        <w:tc>
          <w:tcPr>
            <w:tcW w:w="117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354</w:t>
            </w:r>
          </w:p>
        </w:tc>
        <w:tc>
          <w:tcPr>
            <w:tcW w:w="77" w:type="dxa"/>
            <w:tcBorders/>
            <w:shd w:fill="FFFFFF" w:val="clear"/>
            <w:vAlign w:val="center"/>
          </w:tcPr>
          <w:p>
            <w:pPr>
              <w:pStyle w:val="TableContents"/>
              <w:bidi w:val="0"/>
              <w:spacing w:before="0" w:after="283"/>
              <w:jc w:val="left"/>
              <w:rPr/>
            </w:pPr>
            <w:r>
              <w:rPr/>
              <w:t> </w:t>
            </w:r>
          </w:p>
        </w:tc>
      </w:tr>
      <w:tr>
        <w:trPr/>
        <w:tc>
          <w:tcPr>
            <w:tcW w:w="1578"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Substandard</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ind w:left="0" w:right="0" w:hanging="0"/>
              <w:jc w:val="left"/>
              <w:rPr/>
            </w:pPr>
            <w:r>
              <w:rPr/>
              <w:t> </w:t>
            </w:r>
          </w:p>
        </w:tc>
        <w:tc>
          <w:tcPr>
            <w:tcW w:w="117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5,762</w:t>
            </w:r>
          </w:p>
        </w:tc>
        <w:tc>
          <w:tcPr>
            <w:tcW w:w="77" w:type="dxa"/>
            <w:tcBorders/>
            <w:shd w:fill="CCEEFF" w:val="clear"/>
            <w:vAlign w:val="center"/>
          </w:tcPr>
          <w:p>
            <w:pPr>
              <w:pStyle w:val="TableContents"/>
              <w:bidi w:val="0"/>
              <w:spacing w:before="0" w:after="283"/>
              <w:jc w:val="left"/>
              <w:rPr/>
            </w:pPr>
            <w:r>
              <w:rPr/>
              <w:t> </w:t>
            </w:r>
          </w:p>
        </w:tc>
      </w:tr>
      <w:tr>
        <w:trPr/>
        <w:tc>
          <w:tcPr>
            <w:tcW w:w="1578"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Doubtful</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77" w:type="dxa"/>
            <w:tcBorders/>
            <w:shd w:fill="FFFFFF" w:val="clear"/>
            <w:vAlign w:val="center"/>
          </w:tcPr>
          <w:p>
            <w:pPr>
              <w:pStyle w:val="TableContents"/>
              <w:bidi w:val="0"/>
              <w:spacing w:before="0" w:after="283"/>
              <w:jc w:val="left"/>
              <w:rPr/>
            </w:pPr>
            <w:r>
              <w:rPr/>
              <w:t> </w:t>
            </w:r>
          </w:p>
        </w:tc>
      </w:tr>
      <w:tr>
        <w:trPr/>
        <w:tc>
          <w:tcPr>
            <w:tcW w:w="1578" w:type="dxa"/>
            <w:tcBorders/>
            <w:shd w:fill="CCEEFF" w:val="clear"/>
            <w:vAlign w:val="center"/>
          </w:tcPr>
          <w:p>
            <w:pPr>
              <w:pStyle w:val="TableContents"/>
              <w:bidi w:val="0"/>
              <w:spacing w:before="0" w:after="0"/>
              <w:ind w:left="54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14,433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5,105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10,718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10,136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13,949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9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117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55,978</w:t>
            </w:r>
          </w:p>
        </w:tc>
        <w:tc>
          <w:tcPr>
            <w:tcW w:w="77" w:type="dxa"/>
            <w:tcBorders/>
            <w:shd w:fill="CCEEFF" w:val="clear"/>
            <w:vAlign w:val="center"/>
          </w:tcPr>
          <w:p>
            <w:pPr>
              <w:pStyle w:val="TableContents"/>
              <w:bidi w:val="0"/>
              <w:spacing w:before="0" w:after="283"/>
              <w:jc w:val="left"/>
              <w:rPr/>
            </w:pPr>
            <w:r>
              <w:rPr/>
              <w:t> </w:t>
            </w:r>
          </w:p>
        </w:tc>
      </w:tr>
      <w:tr>
        <w:trPr/>
        <w:tc>
          <w:tcPr>
            <w:tcW w:w="1578"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YTD gross charge-offs</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96"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117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187</w:t>
            </w:r>
          </w:p>
        </w:tc>
        <w:tc>
          <w:tcPr>
            <w:tcW w:w="77" w:type="dxa"/>
            <w:tcBorders/>
            <w:shd w:fill="FFFFFF" w:val="clear"/>
            <w:vAlign w:val="center"/>
          </w:tcPr>
          <w:p>
            <w:pPr>
              <w:pStyle w:val="TableContents"/>
              <w:bidi w:val="0"/>
              <w:spacing w:before="0" w:after="283"/>
              <w:jc w:val="left"/>
              <w:rPr/>
            </w:pPr>
            <w:r>
              <w:rPr/>
              <w:t> </w:t>
            </w:r>
          </w:p>
        </w:tc>
      </w:tr>
      <w:tr>
        <w:trPr/>
        <w:tc>
          <w:tcPr>
            <w:tcW w:w="1578"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Other:</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1578"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Pass</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96"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117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4,397</w:t>
            </w:r>
          </w:p>
        </w:tc>
        <w:tc>
          <w:tcPr>
            <w:tcW w:w="77" w:type="dxa"/>
            <w:tcBorders/>
            <w:shd w:fill="FFFFFF" w:val="clear"/>
            <w:vAlign w:val="center"/>
          </w:tcPr>
          <w:p>
            <w:pPr>
              <w:pStyle w:val="TableContents"/>
              <w:bidi w:val="0"/>
              <w:spacing w:before="0" w:after="283"/>
              <w:jc w:val="left"/>
              <w:rPr/>
            </w:pPr>
            <w:r>
              <w:rPr/>
              <w:t> </w:t>
            </w:r>
          </w:p>
        </w:tc>
      </w:tr>
      <w:tr>
        <w:trPr/>
        <w:tc>
          <w:tcPr>
            <w:tcW w:w="1578"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Special mention</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ind w:left="0" w:right="0" w:hanging="0"/>
              <w:jc w:val="left"/>
              <w:rPr/>
            </w:pPr>
            <w:r>
              <w:rPr/>
              <w:t> </w:t>
            </w:r>
          </w:p>
        </w:tc>
        <w:tc>
          <w:tcPr>
            <w:tcW w:w="117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t>—</w:t>
            </w:r>
          </w:p>
        </w:tc>
        <w:tc>
          <w:tcPr>
            <w:tcW w:w="77" w:type="dxa"/>
            <w:tcBorders/>
            <w:shd w:fill="CCEEFF" w:val="clear"/>
            <w:vAlign w:val="center"/>
          </w:tcPr>
          <w:p>
            <w:pPr>
              <w:pStyle w:val="TableContents"/>
              <w:bidi w:val="0"/>
              <w:spacing w:before="0" w:after="283"/>
              <w:jc w:val="left"/>
              <w:rPr/>
            </w:pPr>
            <w:r>
              <w:rPr/>
              <w:t> </w:t>
            </w:r>
          </w:p>
        </w:tc>
      </w:tr>
      <w:tr>
        <w:trPr/>
        <w:tc>
          <w:tcPr>
            <w:tcW w:w="1578"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Substandard</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ind w:left="0" w:right="0" w:hanging="0"/>
              <w:jc w:val="left"/>
              <w:rPr/>
            </w:pPr>
            <w:r>
              <w:rPr/>
              <w:t> </w:t>
            </w:r>
          </w:p>
        </w:tc>
        <w:tc>
          <w:tcPr>
            <w:tcW w:w="117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77" w:type="dxa"/>
            <w:tcBorders/>
            <w:shd w:fill="FFFFFF" w:val="clear"/>
            <w:vAlign w:val="center"/>
          </w:tcPr>
          <w:p>
            <w:pPr>
              <w:pStyle w:val="TableContents"/>
              <w:bidi w:val="0"/>
              <w:spacing w:before="0" w:after="283"/>
              <w:jc w:val="left"/>
              <w:rPr/>
            </w:pPr>
            <w:r>
              <w:rPr/>
              <w:t> </w:t>
            </w:r>
          </w:p>
        </w:tc>
      </w:tr>
      <w:tr>
        <w:trPr/>
        <w:tc>
          <w:tcPr>
            <w:tcW w:w="1578"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Doubtful</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77" w:type="dxa"/>
            <w:tcBorders/>
            <w:shd w:fill="CCEEFF" w:val="clear"/>
            <w:vAlign w:val="center"/>
          </w:tcPr>
          <w:p>
            <w:pPr>
              <w:pStyle w:val="TableContents"/>
              <w:bidi w:val="0"/>
              <w:spacing w:before="0" w:after="283"/>
              <w:jc w:val="left"/>
              <w:rPr/>
            </w:pPr>
            <w:r>
              <w:rPr/>
              <w:t> </w:t>
            </w:r>
          </w:p>
        </w:tc>
      </w:tr>
      <w:tr>
        <w:trPr/>
        <w:tc>
          <w:tcPr>
            <w:tcW w:w="1578" w:type="dxa"/>
            <w:tcBorders/>
            <w:shd w:fill="FFFFFF" w:val="clear"/>
            <w:vAlign w:val="center"/>
          </w:tcPr>
          <w:p>
            <w:pPr>
              <w:pStyle w:val="TableContents"/>
              <w:bidi w:val="0"/>
              <w:spacing w:before="0" w:after="0"/>
              <w:ind w:left="54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9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117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4,397</w:t>
            </w:r>
          </w:p>
        </w:tc>
        <w:tc>
          <w:tcPr>
            <w:tcW w:w="77" w:type="dxa"/>
            <w:tcBorders/>
            <w:shd w:fill="FFFFFF" w:val="clear"/>
            <w:vAlign w:val="center"/>
          </w:tcPr>
          <w:p>
            <w:pPr>
              <w:pStyle w:val="TableContents"/>
              <w:bidi w:val="0"/>
              <w:spacing w:before="0" w:after="283"/>
              <w:jc w:val="left"/>
              <w:rPr/>
            </w:pPr>
            <w:r>
              <w:rPr/>
              <w:t> </w:t>
            </w:r>
          </w:p>
        </w:tc>
      </w:tr>
      <w:tr>
        <w:trPr/>
        <w:tc>
          <w:tcPr>
            <w:tcW w:w="1578"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YTD gross charge-offs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96"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117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180</w:t>
            </w:r>
          </w:p>
        </w:tc>
        <w:tc>
          <w:tcPr>
            <w:tcW w:w="77" w:type="dxa"/>
            <w:tcBorders/>
            <w:shd w:fill="CCEEFF" w:val="clear"/>
            <w:vAlign w:val="center"/>
          </w:tcPr>
          <w:p>
            <w:pPr>
              <w:pStyle w:val="TableContents"/>
              <w:bidi w:val="0"/>
              <w:spacing w:before="0" w:after="283"/>
              <w:jc w:val="left"/>
              <w:rPr/>
            </w:pPr>
            <w:r>
              <w:rPr/>
              <w:t> </w:t>
            </w:r>
          </w:p>
        </w:tc>
      </w:tr>
      <w:tr>
        <w:trPr/>
        <w:tc>
          <w:tcPr>
            <w:tcW w:w="1578" w:type="dxa"/>
            <w:tcBorders/>
            <w:shd w:fill="FFFFFF" w:val="clear"/>
            <w:vAlign w:val="center"/>
          </w:tcPr>
          <w:p>
            <w:pPr>
              <w:pStyle w:val="TableContents"/>
              <w:bidi w:val="0"/>
              <w:spacing w:before="0" w:after="0"/>
              <w:ind w:left="18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Total by risk rating:</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left"/>
              <w:rPr/>
            </w:pPr>
            <w:r>
              <w:rPr/>
              <w:t> </w:t>
            </w:r>
          </w:p>
        </w:tc>
        <w:tc>
          <w:tcPr>
            <w:tcW w:w="11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1578"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Pass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665,912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300,323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174,065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951,753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384,937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642,315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100,584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96"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117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3,219,889</w:t>
            </w:r>
          </w:p>
        </w:tc>
        <w:tc>
          <w:tcPr>
            <w:tcW w:w="77" w:type="dxa"/>
            <w:tcBorders/>
            <w:shd w:fill="CCEEFF" w:val="clear"/>
            <w:vAlign w:val="center"/>
          </w:tcPr>
          <w:p>
            <w:pPr>
              <w:pStyle w:val="TableContents"/>
              <w:bidi w:val="0"/>
              <w:spacing w:before="0" w:after="283"/>
              <w:jc w:val="left"/>
              <w:rPr/>
            </w:pPr>
            <w:r>
              <w:rPr/>
              <w:t> </w:t>
            </w:r>
          </w:p>
        </w:tc>
      </w:tr>
      <w:tr>
        <w:trPr/>
        <w:tc>
          <w:tcPr>
            <w:tcW w:w="1578"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Special mention</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8,281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ind w:left="0" w:right="0" w:hanging="0"/>
              <w:jc w:val="left"/>
              <w:rPr/>
            </w:pPr>
            <w:r>
              <w:rPr/>
              <w:t> </w:t>
            </w:r>
          </w:p>
        </w:tc>
        <w:tc>
          <w:tcPr>
            <w:tcW w:w="117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19,237</w:t>
            </w:r>
          </w:p>
        </w:tc>
        <w:tc>
          <w:tcPr>
            <w:tcW w:w="77" w:type="dxa"/>
            <w:tcBorders/>
            <w:shd w:fill="FFFFFF" w:val="clear"/>
            <w:vAlign w:val="center"/>
          </w:tcPr>
          <w:p>
            <w:pPr>
              <w:pStyle w:val="TableContents"/>
              <w:bidi w:val="0"/>
              <w:spacing w:before="0" w:after="283"/>
              <w:jc w:val="left"/>
              <w:rPr/>
            </w:pPr>
            <w:r>
              <w:rPr/>
              <w:t> </w:t>
            </w:r>
          </w:p>
        </w:tc>
      </w:tr>
      <w:tr>
        <w:trPr/>
        <w:tc>
          <w:tcPr>
            <w:tcW w:w="1578"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Substandard</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8,953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29,241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ind w:left="0" w:right="0" w:hanging="0"/>
              <w:jc w:val="left"/>
              <w:rPr/>
            </w:pPr>
            <w:r>
              <w:rPr/>
              <w:t> </w:t>
            </w:r>
          </w:p>
        </w:tc>
        <w:tc>
          <w:tcPr>
            <w:tcW w:w="117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75,175</w:t>
            </w:r>
          </w:p>
        </w:tc>
        <w:tc>
          <w:tcPr>
            <w:tcW w:w="77" w:type="dxa"/>
            <w:tcBorders/>
            <w:shd w:fill="CCEEFF" w:val="clear"/>
            <w:vAlign w:val="center"/>
          </w:tcPr>
          <w:p>
            <w:pPr>
              <w:pStyle w:val="TableContents"/>
              <w:bidi w:val="0"/>
              <w:spacing w:before="0" w:after="283"/>
              <w:jc w:val="left"/>
              <w:rPr/>
            </w:pPr>
            <w:r>
              <w:rPr/>
              <w:t> </w:t>
            </w:r>
          </w:p>
        </w:tc>
      </w:tr>
      <w:tr>
        <w:trPr/>
        <w:tc>
          <w:tcPr>
            <w:tcW w:w="1578"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Doubtful</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77" w:type="dxa"/>
            <w:tcBorders/>
            <w:shd w:fill="FFFFFF" w:val="clear"/>
            <w:vAlign w:val="center"/>
          </w:tcPr>
          <w:p>
            <w:pPr>
              <w:pStyle w:val="TableContents"/>
              <w:bidi w:val="0"/>
              <w:spacing w:before="0" w:after="283"/>
              <w:jc w:val="left"/>
              <w:rPr/>
            </w:pPr>
            <w:r>
              <w:rPr/>
              <w:t> </w:t>
            </w:r>
          </w:p>
        </w:tc>
      </w:tr>
      <w:tr>
        <w:trPr/>
        <w:tc>
          <w:tcPr>
            <w:tcW w:w="1578" w:type="dxa"/>
            <w:tcBorders/>
            <w:shd w:fill="CCEEFF" w:val="clear"/>
            <w:vAlign w:val="center"/>
          </w:tcPr>
          <w:p>
            <w:pPr>
              <w:pStyle w:val="TableContents"/>
              <w:bidi w:val="0"/>
              <w:spacing w:before="0" w:after="0"/>
              <w:ind w:left="54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Total loans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666,325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312,663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175,103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959,627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415,755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679,837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104,991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9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117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3,314,301</w:t>
            </w:r>
          </w:p>
        </w:tc>
        <w:tc>
          <w:tcPr>
            <w:tcW w:w="77" w:type="dxa"/>
            <w:tcBorders/>
            <w:shd w:fill="CCEEFF" w:val="clear"/>
            <w:vAlign w:val="center"/>
          </w:tcPr>
          <w:p>
            <w:pPr>
              <w:pStyle w:val="TableContents"/>
              <w:bidi w:val="0"/>
              <w:spacing w:before="0" w:after="283"/>
              <w:jc w:val="left"/>
              <w:rPr/>
            </w:pPr>
            <w:r>
              <w:rPr/>
              <w:t> </w:t>
            </w:r>
          </w:p>
        </w:tc>
      </w:tr>
      <w:tr>
        <w:trPr/>
        <w:tc>
          <w:tcPr>
            <w:tcW w:w="1578" w:type="dxa"/>
            <w:tcBorders/>
            <w:shd w:fill="FFFFFF" w:val="clear"/>
            <w:vAlign w:val="center"/>
          </w:tcPr>
          <w:p>
            <w:pPr>
              <w:pStyle w:val="TableContents"/>
              <w:bidi w:val="0"/>
              <w:spacing w:before="0" w:after="0"/>
              <w:ind w:left="54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Total YTD gross charge-offs</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8,661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9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117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14,712</w:t>
            </w:r>
          </w:p>
        </w:tc>
        <w:tc>
          <w:tcPr>
            <w:tcW w:w="7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following tables present the aging of the recorded investment in past due loans HFI, by loan segment and class, as of the dates indicated.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8"/>
        <w:gridCol w:w="60"/>
        <w:gridCol w:w="157"/>
        <w:gridCol w:w="612"/>
        <w:gridCol w:w="60"/>
        <w:gridCol w:w="60"/>
        <w:gridCol w:w="157"/>
        <w:gridCol w:w="612"/>
        <w:gridCol w:w="60"/>
        <w:gridCol w:w="60"/>
        <w:gridCol w:w="293"/>
        <w:gridCol w:w="614"/>
        <w:gridCol w:w="60"/>
        <w:gridCol w:w="60"/>
        <w:gridCol w:w="214"/>
        <w:gridCol w:w="831"/>
        <w:gridCol w:w="60"/>
        <w:gridCol w:w="60"/>
        <w:gridCol w:w="218"/>
        <w:gridCol w:w="1037"/>
        <w:gridCol w:w="60"/>
        <w:gridCol w:w="60"/>
        <w:gridCol w:w="125"/>
        <w:gridCol w:w="845"/>
        <w:gridCol w:w="60"/>
        <w:gridCol w:w="60"/>
        <w:gridCol w:w="152"/>
        <w:gridCol w:w="1033"/>
        <w:gridCol w:w="67"/>
      </w:tblGrid>
      <w:tr>
        <w:trPr/>
        <w:tc>
          <w:tcPr>
            <w:tcW w:w="24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50" w:type="dxa"/>
            <w:gridSpan w:val="14"/>
            <w:tcBorders>
              <w:bottom w:val="single" w:sz="2" w:space="0" w:color="000000"/>
            </w:tcBorders>
            <w:shd w:fill="FFFFFF" w:val="clear"/>
            <w:tcMar>
              <w:bottom w:w="28" w:type="dxa"/>
            </w:tcMar>
            <w:vAlign w:val="center"/>
          </w:tcPr>
          <w:p>
            <w:pPr>
              <w:pStyle w:val="TableContents"/>
              <w:bidi w:val="0"/>
              <w:spacing w:before="0" w:after="0"/>
              <w:jc w:val="center"/>
              <w:rPr/>
            </w:pPr>
            <w:r>
              <w:rPr>
                <w:rStyle w:val="Emphasis"/>
                <w:rFonts w:ascii="Times New Roman;Times;serif" w:hAnsi="Times New Roman;Times;serif"/>
                <w:b/>
                <w:sz w:val="20"/>
              </w:rPr>
              <w:t>Accruing Loans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pPr>
            <w:r>
              <w:rPr>
                <w:rStyle w:val="Emphasis"/>
              </w:rPr>
              <w:t> </w:t>
            </w:r>
          </w:p>
        </w:tc>
        <w:tc>
          <w:tcPr>
            <w:tcW w:w="67" w:type="dxa"/>
            <w:tcBorders/>
            <w:shd w:fill="FFFFFF" w:val="clear"/>
            <w:vAlign w:val="center"/>
          </w:tcPr>
          <w:p>
            <w:pPr>
              <w:pStyle w:val="TableContents"/>
              <w:bidi w:val="0"/>
              <w:spacing w:before="0" w:after="283"/>
              <w:jc w:val="left"/>
              <w:rPr/>
            </w:pPr>
            <w:r>
              <w:rPr/>
              <w:t> </w:t>
            </w:r>
          </w:p>
        </w:tc>
      </w:tr>
      <w:tr>
        <w:trPr/>
        <w:tc>
          <w:tcPr>
            <w:tcW w:w="245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60" w:type="dxa"/>
            <w:tcBorders/>
            <w:shd w:fill="FFFFFF" w:val="clear"/>
            <w:vAlign w:val="center"/>
          </w:tcPr>
          <w:p>
            <w:pPr>
              <w:pStyle w:val="TableContents"/>
              <w:bidi w:val="0"/>
              <w:spacing w:before="0" w:after="283"/>
              <w:ind w:left="0" w:right="0" w:hanging="0"/>
              <w:jc w:val="left"/>
              <w:rPr/>
            </w:pPr>
            <w:r>
              <w:rPr/>
              <w:t> </w:t>
            </w:r>
          </w:p>
        </w:tc>
        <w:tc>
          <w:tcPr>
            <w:tcW w:w="7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30-59 Days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60-89 Days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90 Days or More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5"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Past Due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Nonaccrual Loans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Current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 Loans HFI</w:t>
            </w:r>
          </w:p>
        </w:tc>
        <w:tc>
          <w:tcPr>
            <w:tcW w:w="67" w:type="dxa"/>
            <w:tcBorders/>
            <w:shd w:fill="FFFFFF" w:val="clear"/>
            <w:vAlign w:val="center"/>
          </w:tcPr>
          <w:p>
            <w:pPr>
              <w:pStyle w:val="TableContents"/>
              <w:bidi w:val="0"/>
              <w:spacing w:before="0" w:after="283"/>
              <w:jc w:val="left"/>
              <w:rPr/>
            </w:pPr>
            <w:r>
              <w:rPr/>
              <w:t> </w:t>
            </w:r>
          </w:p>
        </w:tc>
      </w:tr>
      <w:tr>
        <w:trPr/>
        <w:tc>
          <w:tcPr>
            <w:tcW w:w="24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w:t>
            </w:r>
          </w:p>
        </w:tc>
        <w:tc>
          <w:tcPr>
            <w:tcW w:w="60" w:type="dxa"/>
            <w:tcBorders/>
            <w:shd w:fill="CCEEFF" w:val="clear"/>
            <w:vAlign w:val="center"/>
          </w:tcPr>
          <w:p>
            <w:pPr>
              <w:pStyle w:val="TableContents"/>
              <w:bidi w:val="0"/>
              <w:spacing w:before="0" w:after="283"/>
              <w:ind w:left="0" w:right="0" w:hanging="0"/>
              <w:jc w:val="left"/>
              <w:rPr/>
            </w:pPr>
            <w:r>
              <w:rPr/>
              <w:t> </w:t>
            </w:r>
          </w:p>
        </w:tc>
        <w:tc>
          <w:tcPr>
            <w:tcW w:w="7620" w:type="dxa"/>
            <w:gridSpan w:val="26"/>
            <w:tcBorders/>
            <w:shd w:fill="CCEEFF" w:val="clear"/>
            <w:vAlign w:val="center"/>
          </w:tcPr>
          <w:p>
            <w:pPr>
              <w:pStyle w:val="TableContents"/>
              <w:bidi w:val="0"/>
              <w:spacing w:before="0" w:after="283"/>
              <w:jc w:val="center"/>
              <w:rPr/>
            </w:pPr>
            <w:r>
              <w:rPr>
                <w:rStyle w:val="Emphasis"/>
                <w:rFonts w:ascii="Times New Roman;Times;serif" w:hAnsi="Times New Roman;Times;serif"/>
                <w:b/>
                <w:i/>
                <w:sz w:val="20"/>
              </w:rPr>
              <w:t>(dollars in thousands)</w:t>
            </w:r>
          </w:p>
        </w:tc>
        <w:tc>
          <w:tcPr>
            <w:tcW w:w="67" w:type="dxa"/>
            <w:tcBorders/>
            <w:shd w:fill="CCEEFF" w:val="clear"/>
            <w:vAlign w:val="center"/>
          </w:tcPr>
          <w:p>
            <w:pPr>
              <w:pStyle w:val="TableContents"/>
              <w:bidi w:val="0"/>
              <w:spacing w:before="0" w:after="283"/>
              <w:jc w:val="left"/>
              <w:rPr/>
            </w:pPr>
            <w:r>
              <w:rPr/>
              <w:t> </w:t>
            </w:r>
          </w:p>
        </w:tc>
      </w:tr>
      <w:tr>
        <w:trPr/>
        <w:tc>
          <w:tcPr>
            <w:tcW w:w="2458" w:type="dxa"/>
            <w:tcBorders/>
            <w:shd w:fill="FFFFFF" w:val="clear"/>
            <w:vAlign w:val="center"/>
          </w:tcPr>
          <w:p>
            <w:pPr>
              <w:pStyle w:val="TableContents"/>
              <w:bidi w:val="0"/>
              <w:spacing w:lineRule="auto" w:line="288"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Single-family residential mortgages (2)</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1,674,214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1,680,635</w:t>
            </w:r>
          </w:p>
        </w:tc>
        <w:tc>
          <w:tcPr>
            <w:tcW w:w="67" w:type="dxa"/>
            <w:tcBorders/>
            <w:shd w:fill="FFFFFF" w:val="clear"/>
            <w:vAlign w:val="center"/>
          </w:tcPr>
          <w:p>
            <w:pPr>
              <w:pStyle w:val="TableContents"/>
              <w:bidi w:val="0"/>
              <w:spacing w:before="0" w:after="283"/>
              <w:jc w:val="left"/>
              <w:rPr/>
            </w:pPr>
            <w:r>
              <w:rPr/>
              <w:t> </w:t>
            </w:r>
          </w:p>
        </w:tc>
      </w:tr>
      <w:tr>
        <w:trPr/>
        <w:tc>
          <w:tcPr>
            <w:tcW w:w="2458"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real estate</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6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6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ind w:left="0" w:right="0" w:hanging="0"/>
              <w:jc w:val="left"/>
              <w:rPr/>
            </w:pPr>
            <w:r>
              <w:rPr/>
              <w:t> </w:t>
            </w:r>
          </w:p>
        </w:tc>
        <w:tc>
          <w:tcPr>
            <w:tcW w:w="61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8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0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1,268,495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10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1,277,559</w:t>
            </w:r>
          </w:p>
        </w:tc>
        <w:tc>
          <w:tcPr>
            <w:tcW w:w="67" w:type="dxa"/>
            <w:tcBorders/>
            <w:shd w:fill="CCEEFF" w:val="clear"/>
            <w:vAlign w:val="center"/>
          </w:tcPr>
          <w:p>
            <w:pPr>
              <w:pStyle w:val="TableContents"/>
              <w:bidi w:val="0"/>
              <w:spacing w:before="0" w:after="283"/>
              <w:jc w:val="left"/>
              <w:rPr/>
            </w:pPr>
            <w:r>
              <w:rPr/>
              <w:t> </w:t>
            </w:r>
          </w:p>
        </w:tc>
      </w:tr>
      <w:tr>
        <w:trPr/>
        <w:tc>
          <w:tcPr>
            <w:tcW w:w="2458"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Construction and land development</w:t>
            </w:r>
          </w:p>
        </w:tc>
        <w:tc>
          <w:tcPr>
            <w:tcW w:w="60" w:type="dxa"/>
            <w:tcBorders/>
            <w:shd w:fill="FFFFFF" w:val="clear"/>
            <w:vAlign w:val="center"/>
          </w:tcPr>
          <w:p>
            <w:pPr>
              <w:pStyle w:val="TableContents"/>
              <w:bidi w:val="0"/>
              <w:spacing w:before="0" w:after="283"/>
              <w:ind w:left="0" w:right="0" w:hanging="0"/>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61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61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3" w:type="dxa"/>
            <w:tcBorders/>
            <w:shd w:fill="FFFFFF" w:val="clear"/>
            <w:vAlign w:val="center"/>
          </w:tcPr>
          <w:p>
            <w:pPr>
              <w:pStyle w:val="TableContents"/>
              <w:bidi w:val="0"/>
              <w:spacing w:before="0" w:after="283"/>
              <w:ind w:left="0" w:right="0" w:hanging="0"/>
              <w:jc w:val="left"/>
              <w:rPr/>
            </w:pPr>
            <w:r>
              <w:rPr/>
              <w:t> </w:t>
            </w:r>
          </w:p>
        </w:tc>
        <w:tc>
          <w:tcPr>
            <w:tcW w:w="61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83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0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138,201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10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146,273</w:t>
            </w:r>
          </w:p>
        </w:tc>
        <w:tc>
          <w:tcPr>
            <w:tcW w:w="67" w:type="dxa"/>
            <w:tcBorders/>
            <w:shd w:fill="FFFFFF" w:val="clear"/>
            <w:vAlign w:val="center"/>
          </w:tcPr>
          <w:p>
            <w:pPr>
              <w:pStyle w:val="TableContents"/>
              <w:bidi w:val="0"/>
              <w:spacing w:before="0" w:after="283"/>
              <w:jc w:val="left"/>
              <w:rPr/>
            </w:pPr>
            <w:r>
              <w:rPr/>
              <w:t> </w:t>
            </w:r>
          </w:p>
        </w:tc>
      </w:tr>
      <w:tr>
        <w:trPr/>
        <w:tc>
          <w:tcPr>
            <w:tcW w:w="245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r>
      <w:tr>
        <w:trPr/>
        <w:tc>
          <w:tcPr>
            <w:tcW w:w="2458"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and industrial</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6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6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ind w:left="0" w:right="0" w:hanging="0"/>
              <w:jc w:val="left"/>
              <w:rPr/>
            </w:pPr>
            <w:r>
              <w:rPr/>
              <w:t> </w:t>
            </w:r>
          </w:p>
        </w:tc>
        <w:tc>
          <w:tcPr>
            <w:tcW w:w="61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8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0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144,868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10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151,961</w:t>
            </w:r>
          </w:p>
        </w:tc>
        <w:tc>
          <w:tcPr>
            <w:tcW w:w="67" w:type="dxa"/>
            <w:tcBorders/>
            <w:shd w:fill="FFFFFF" w:val="clear"/>
            <w:vAlign w:val="center"/>
          </w:tcPr>
          <w:p>
            <w:pPr>
              <w:pStyle w:val="TableContents"/>
              <w:bidi w:val="0"/>
              <w:spacing w:before="0" w:after="283"/>
              <w:jc w:val="left"/>
              <w:rPr/>
            </w:pPr>
            <w:r>
              <w:rPr/>
              <w:t> </w:t>
            </w:r>
          </w:p>
        </w:tc>
      </w:tr>
      <w:tr>
        <w:trPr/>
        <w:tc>
          <w:tcPr>
            <w:tcW w:w="2458"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SBA</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61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6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ind w:left="0" w:right="0" w:hanging="0"/>
              <w:jc w:val="left"/>
              <w:rPr/>
            </w:pPr>
            <w:r>
              <w:rPr/>
              <w:t> </w:t>
            </w:r>
          </w:p>
        </w:tc>
        <w:tc>
          <w:tcPr>
            <w:tcW w:w="61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8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0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10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49,667</w:t>
            </w:r>
          </w:p>
        </w:tc>
        <w:tc>
          <w:tcPr>
            <w:tcW w:w="67" w:type="dxa"/>
            <w:tcBorders/>
            <w:shd w:fill="CCEEFF" w:val="clear"/>
            <w:vAlign w:val="center"/>
          </w:tcPr>
          <w:p>
            <w:pPr>
              <w:pStyle w:val="TableContents"/>
              <w:bidi w:val="0"/>
              <w:spacing w:before="0" w:after="283"/>
              <w:jc w:val="left"/>
              <w:rPr/>
            </w:pPr>
            <w:r>
              <w:rPr/>
              <w:t> </w:t>
            </w:r>
          </w:p>
        </w:tc>
      </w:tr>
      <w:tr>
        <w:trPr/>
        <w:tc>
          <w:tcPr>
            <w:tcW w:w="245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3,364</w:t>
            </w:r>
          </w:p>
        </w:tc>
        <w:tc>
          <w:tcPr>
            <w:tcW w:w="67" w:type="dxa"/>
            <w:tcBorders/>
            <w:shd w:fill="FFFFFF" w:val="clear"/>
            <w:vAlign w:val="center"/>
          </w:tcPr>
          <w:p>
            <w:pPr>
              <w:pStyle w:val="TableContents"/>
              <w:bidi w:val="0"/>
              <w:spacing w:before="0" w:after="283"/>
              <w:jc w:val="left"/>
              <w:rPr/>
            </w:pPr>
            <w:r>
              <w:rPr/>
              <w:t> </w:t>
            </w:r>
          </w:p>
        </w:tc>
      </w:tr>
      <w:tr>
        <w:trPr/>
        <w:tc>
          <w:tcPr>
            <w:tcW w:w="2458"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3,276,730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3,309,459</w:t>
            </w:r>
          </w:p>
        </w:tc>
        <w:tc>
          <w:tcPr>
            <w:tcW w:w="67" w:type="dxa"/>
            <w:tcBorders/>
            <w:shd w:fill="CCEEFF" w:val="clear"/>
            <w:vAlign w:val="center"/>
          </w:tcPr>
          <w:p>
            <w:pPr>
              <w:pStyle w:val="TableContents"/>
              <w:bidi w:val="0"/>
              <w:spacing w:before="0" w:after="283"/>
              <w:jc w:val="left"/>
              <w:rPr/>
            </w:pPr>
            <w:r>
              <w:rPr/>
              <w:t> </w:t>
            </w:r>
          </w:p>
        </w:tc>
      </w:tr>
    </w:tbl>
    <w:tbl>
      <w:tblPr>
        <w:tblW w:w="6670" w:type="dxa"/>
        <w:jc w:val="left"/>
        <w:tblInd w:w="0" w:type="dxa"/>
        <w:tblLayout w:type="fixed"/>
        <w:tblCellMar>
          <w:top w:w="0" w:type="dxa"/>
          <w:left w:w="0" w:type="dxa"/>
          <w:bottom w:w="0" w:type="dxa"/>
          <w:right w:w="0" w:type="dxa"/>
        </w:tblCellMar>
      </w:tblPr>
      <w:tblGrid>
        <w:gridCol w:w="60"/>
        <w:gridCol w:w="230"/>
        <w:gridCol w:w="638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sz w:val="18"/>
              </w:rPr>
              <w:t>(</w:t>
            </w:r>
            <w:r>
              <w:rPr>
                <w:rStyle w:val="Emphasis"/>
                <w:sz w:val="18"/>
              </w:rPr>
              <w:t>1</w:t>
            </w:r>
            <w:r>
              <w:rPr>
                <w:sz w:val="18"/>
              </w:rPr>
              <w:t>)</w:t>
            </w:r>
          </w:p>
        </w:tc>
        <w:tc>
          <w:tcPr>
            <w:tcW w:w="6380" w:type="dxa"/>
            <w:tcBorders/>
            <w:vAlign w:val="center"/>
          </w:tcPr>
          <w:p>
            <w:pPr>
              <w:pStyle w:val="TableContents"/>
              <w:bidi w:val="0"/>
              <w:spacing w:before="0" w:after="283"/>
              <w:jc w:val="left"/>
              <w:rPr/>
            </w:pPr>
            <w:r>
              <w:rPr/>
              <w:t> </w:t>
            </w:r>
            <w:r>
              <w:rPr>
                <w:sz w:val="18"/>
              </w:rPr>
              <w:t>Past due loans exclude nonaccrual loans.</w:t>
            </w:r>
          </w:p>
        </w:tc>
      </w:tr>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sz w:val="18"/>
              </w:rPr>
              <w:t>(</w:t>
            </w:r>
            <w:r>
              <w:rPr>
                <w:rStyle w:val="Emphasis"/>
                <w:sz w:val="18"/>
              </w:rPr>
              <w:t>2</w:t>
            </w:r>
            <w:r>
              <w:rPr>
                <w:sz w:val="18"/>
              </w:rPr>
              <w:t>)</w:t>
            </w:r>
          </w:p>
        </w:tc>
        <w:tc>
          <w:tcPr>
            <w:tcW w:w="6380" w:type="dxa"/>
            <w:tcBorders/>
            <w:vAlign w:val="center"/>
          </w:tcPr>
          <w:p>
            <w:pPr>
              <w:pStyle w:val="TableContents"/>
              <w:bidi w:val="0"/>
              <w:spacing w:before="0" w:after="283"/>
              <w:jc w:val="left"/>
              <w:rPr/>
            </w:pPr>
            <w:r>
              <w:rPr/>
              <w:t> </w:t>
            </w:r>
            <w:r>
              <w:rPr>
                <w:sz w:val="18"/>
              </w:rPr>
              <w:t>Nonaccrual SFR mortgage loans include $153,000 of loans in the process of foreclosure.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8"/>
        <w:gridCol w:w="60"/>
        <w:gridCol w:w="157"/>
        <w:gridCol w:w="612"/>
        <w:gridCol w:w="60"/>
        <w:gridCol w:w="60"/>
        <w:gridCol w:w="157"/>
        <w:gridCol w:w="612"/>
        <w:gridCol w:w="60"/>
        <w:gridCol w:w="60"/>
        <w:gridCol w:w="293"/>
        <w:gridCol w:w="614"/>
        <w:gridCol w:w="60"/>
        <w:gridCol w:w="60"/>
        <w:gridCol w:w="214"/>
        <w:gridCol w:w="831"/>
        <w:gridCol w:w="60"/>
        <w:gridCol w:w="60"/>
        <w:gridCol w:w="218"/>
        <w:gridCol w:w="1037"/>
        <w:gridCol w:w="60"/>
        <w:gridCol w:w="60"/>
        <w:gridCol w:w="125"/>
        <w:gridCol w:w="845"/>
        <w:gridCol w:w="60"/>
        <w:gridCol w:w="60"/>
        <w:gridCol w:w="152"/>
        <w:gridCol w:w="1033"/>
        <w:gridCol w:w="67"/>
      </w:tblGrid>
      <w:tr>
        <w:trPr/>
        <w:tc>
          <w:tcPr>
            <w:tcW w:w="24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50" w:type="dxa"/>
            <w:gridSpan w:val="14"/>
            <w:tcBorders>
              <w:bottom w:val="single" w:sz="2" w:space="0" w:color="000000"/>
            </w:tcBorders>
            <w:shd w:fill="FFFFFF" w:val="clear"/>
            <w:tcMar>
              <w:bottom w:w="28" w:type="dxa"/>
            </w:tcMar>
            <w:vAlign w:val="center"/>
          </w:tcPr>
          <w:p>
            <w:pPr>
              <w:pStyle w:val="TableContents"/>
              <w:bidi w:val="0"/>
              <w:spacing w:before="0" w:after="0"/>
              <w:jc w:val="center"/>
              <w:rPr/>
            </w:pPr>
            <w:r>
              <w:rPr>
                <w:rStyle w:val="Emphasis"/>
                <w:rFonts w:ascii="Times New Roman;Times;serif" w:hAnsi="Times New Roman;Times;serif"/>
                <w:b/>
                <w:sz w:val="20"/>
              </w:rPr>
              <w:t>Accruing Loans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right"/>
              <w:rPr/>
            </w:pPr>
            <w:r>
              <w:rPr>
                <w:rStyle w:val="Emphasis"/>
              </w:rPr>
              <w:t> </w:t>
            </w:r>
          </w:p>
        </w:tc>
        <w:tc>
          <w:tcPr>
            <w:tcW w:w="67" w:type="dxa"/>
            <w:tcBorders/>
            <w:shd w:fill="FFFFFF" w:val="clear"/>
            <w:vAlign w:val="center"/>
          </w:tcPr>
          <w:p>
            <w:pPr>
              <w:pStyle w:val="TableContents"/>
              <w:bidi w:val="0"/>
              <w:spacing w:before="0" w:after="283"/>
              <w:jc w:val="left"/>
              <w:rPr/>
            </w:pPr>
            <w:r>
              <w:rPr/>
              <w:t> </w:t>
            </w:r>
          </w:p>
        </w:tc>
      </w:tr>
      <w:tr>
        <w:trPr/>
        <w:tc>
          <w:tcPr>
            <w:tcW w:w="245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2025</w:t>
            </w:r>
          </w:p>
        </w:tc>
        <w:tc>
          <w:tcPr>
            <w:tcW w:w="60" w:type="dxa"/>
            <w:tcBorders/>
            <w:shd w:fill="FFFFFF" w:val="clear"/>
            <w:vAlign w:val="center"/>
          </w:tcPr>
          <w:p>
            <w:pPr>
              <w:pStyle w:val="TableContents"/>
              <w:bidi w:val="0"/>
              <w:spacing w:before="0" w:after="283"/>
              <w:ind w:left="0" w:right="0" w:hanging="0"/>
              <w:jc w:val="left"/>
              <w:rPr/>
            </w:pPr>
            <w:r>
              <w:rPr/>
              <w:t> </w:t>
            </w:r>
          </w:p>
        </w:tc>
        <w:tc>
          <w:tcPr>
            <w:tcW w:w="76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30-59 Days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6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60-89 Days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7"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90 Days or More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5" w:type="dxa"/>
            <w:gridSpan w:val="2"/>
            <w:tcBorders>
              <w:bottom w:val="single" w:sz="2" w:space="0" w:color="000000"/>
            </w:tcBorders>
            <w:shd w:fill="FFFFFF" w:val="clear"/>
            <w:tcMar>
              <w:bottom w:w="28" w:type="dxa"/>
            </w:tcMar>
            <w:vAlign w:val="center"/>
          </w:tcPr>
          <w:p>
            <w:pPr>
              <w:pStyle w:val="TableContents"/>
              <w:bidi w:val="0"/>
              <w:spacing w:lineRule="auto" w:line="288" w:before="0" w:after="283"/>
              <w:jc w:val="center"/>
              <w:rPr>
                <w:rFonts w:ascii="Times New Roman;Times;serif" w:hAnsi="Times New Roman;Times;serif"/>
                <w:b/>
                <w:sz w:val="20"/>
              </w:rPr>
            </w:pPr>
            <w:r>
              <w:rPr>
                <w:rFonts w:ascii="Times New Roman;Times;serif" w:hAnsi="Times New Roman;Times;serif"/>
                <w:b/>
                <w:sz w:val="20"/>
              </w:rPr>
              <w:t>Total Past Due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5"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Nonaccrual Loans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Current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5"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Total Loans HFI</w:t>
            </w:r>
          </w:p>
        </w:tc>
        <w:tc>
          <w:tcPr>
            <w:tcW w:w="67" w:type="dxa"/>
            <w:tcBorders/>
            <w:shd w:fill="FFFFFF" w:val="clear"/>
            <w:vAlign w:val="center"/>
          </w:tcPr>
          <w:p>
            <w:pPr>
              <w:pStyle w:val="TableContents"/>
              <w:bidi w:val="0"/>
              <w:spacing w:before="0" w:after="283"/>
              <w:jc w:val="left"/>
              <w:rPr/>
            </w:pPr>
            <w:r>
              <w:rPr/>
              <w:t> </w:t>
            </w:r>
          </w:p>
        </w:tc>
      </w:tr>
      <w:tr>
        <w:trPr/>
        <w:tc>
          <w:tcPr>
            <w:tcW w:w="24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w:t>
            </w:r>
          </w:p>
        </w:tc>
        <w:tc>
          <w:tcPr>
            <w:tcW w:w="60" w:type="dxa"/>
            <w:tcBorders/>
            <w:shd w:fill="CCEEFF" w:val="clear"/>
            <w:vAlign w:val="center"/>
          </w:tcPr>
          <w:p>
            <w:pPr>
              <w:pStyle w:val="TableContents"/>
              <w:bidi w:val="0"/>
              <w:spacing w:before="0" w:after="283"/>
              <w:ind w:left="0" w:right="0" w:hanging="0"/>
              <w:jc w:val="left"/>
              <w:rPr/>
            </w:pPr>
            <w:r>
              <w:rPr/>
              <w:t> </w:t>
            </w:r>
          </w:p>
        </w:tc>
        <w:tc>
          <w:tcPr>
            <w:tcW w:w="7620" w:type="dxa"/>
            <w:gridSpan w:val="26"/>
            <w:tcBorders/>
            <w:shd w:fill="CCEEFF" w:val="clear"/>
            <w:vAlign w:val="center"/>
          </w:tcPr>
          <w:p>
            <w:pPr>
              <w:pStyle w:val="TableContents"/>
              <w:bidi w:val="0"/>
              <w:spacing w:before="0" w:after="283"/>
              <w:jc w:val="center"/>
              <w:rPr/>
            </w:pPr>
            <w:r>
              <w:rPr>
                <w:rStyle w:val="Emphasis"/>
                <w:rFonts w:ascii="Times New Roman;Times;serif" w:hAnsi="Times New Roman;Times;serif"/>
                <w:b/>
                <w:i/>
                <w:sz w:val="20"/>
              </w:rPr>
              <w:t>(dollars in thousands)</w:t>
            </w:r>
          </w:p>
        </w:tc>
        <w:tc>
          <w:tcPr>
            <w:tcW w:w="67" w:type="dxa"/>
            <w:tcBorders/>
            <w:shd w:fill="CCEEFF" w:val="clear"/>
            <w:vAlign w:val="center"/>
          </w:tcPr>
          <w:p>
            <w:pPr>
              <w:pStyle w:val="TableContents"/>
              <w:bidi w:val="0"/>
              <w:spacing w:before="0" w:after="283"/>
              <w:jc w:val="left"/>
              <w:rPr/>
            </w:pPr>
            <w:r>
              <w:rPr/>
              <w:t> </w:t>
            </w:r>
          </w:p>
        </w:tc>
      </w:tr>
      <w:tr>
        <w:trPr/>
        <w:tc>
          <w:tcPr>
            <w:tcW w:w="2458" w:type="dxa"/>
            <w:tcBorders/>
            <w:shd w:fill="FFFFFF" w:val="clear"/>
            <w:vAlign w:val="center"/>
          </w:tcPr>
          <w:p>
            <w:pPr>
              <w:pStyle w:val="TableContents"/>
              <w:bidi w:val="0"/>
              <w:spacing w:lineRule="auto" w:line="288"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Single-family residential mortgages (2)</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1,646,778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1,655,382</w:t>
            </w:r>
          </w:p>
        </w:tc>
        <w:tc>
          <w:tcPr>
            <w:tcW w:w="67" w:type="dxa"/>
            <w:tcBorders/>
            <w:shd w:fill="FFFFFF" w:val="clear"/>
            <w:vAlign w:val="center"/>
          </w:tcPr>
          <w:p>
            <w:pPr>
              <w:pStyle w:val="TableContents"/>
              <w:bidi w:val="0"/>
              <w:spacing w:before="0" w:after="283"/>
              <w:jc w:val="left"/>
              <w:rPr/>
            </w:pPr>
            <w:r>
              <w:rPr/>
              <w:t> </w:t>
            </w:r>
          </w:p>
        </w:tc>
      </w:tr>
      <w:tr>
        <w:trPr/>
        <w:tc>
          <w:tcPr>
            <w:tcW w:w="2458"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real estate</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6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6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ind w:left="0" w:right="0" w:hanging="0"/>
              <w:jc w:val="left"/>
              <w:rPr/>
            </w:pPr>
            <w:r>
              <w:rPr/>
              <w:t> </w:t>
            </w:r>
          </w:p>
        </w:tc>
        <w:tc>
          <w:tcPr>
            <w:tcW w:w="61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8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0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1,294,373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10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1,303,019</w:t>
            </w:r>
          </w:p>
        </w:tc>
        <w:tc>
          <w:tcPr>
            <w:tcW w:w="67" w:type="dxa"/>
            <w:tcBorders/>
            <w:shd w:fill="CCEEFF" w:val="clear"/>
            <w:vAlign w:val="center"/>
          </w:tcPr>
          <w:p>
            <w:pPr>
              <w:pStyle w:val="TableContents"/>
              <w:bidi w:val="0"/>
              <w:spacing w:before="0" w:after="283"/>
              <w:jc w:val="left"/>
              <w:rPr/>
            </w:pPr>
            <w:r>
              <w:rPr/>
              <w:t> </w:t>
            </w:r>
          </w:p>
        </w:tc>
      </w:tr>
      <w:tr>
        <w:trPr/>
        <w:tc>
          <w:tcPr>
            <w:tcW w:w="2458"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Construction and land development</w:t>
            </w:r>
          </w:p>
        </w:tc>
        <w:tc>
          <w:tcPr>
            <w:tcW w:w="60" w:type="dxa"/>
            <w:tcBorders/>
            <w:shd w:fill="FFFFFF" w:val="clear"/>
            <w:vAlign w:val="center"/>
          </w:tcPr>
          <w:p>
            <w:pPr>
              <w:pStyle w:val="TableContents"/>
              <w:bidi w:val="0"/>
              <w:spacing w:before="0" w:after="283"/>
              <w:ind w:left="0" w:right="0" w:hanging="0"/>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61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61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3" w:type="dxa"/>
            <w:tcBorders/>
            <w:shd w:fill="FFFFFF" w:val="clear"/>
            <w:vAlign w:val="center"/>
          </w:tcPr>
          <w:p>
            <w:pPr>
              <w:pStyle w:val="TableContents"/>
              <w:bidi w:val="0"/>
              <w:spacing w:before="0" w:after="283"/>
              <w:ind w:left="0" w:right="0" w:hanging="0"/>
              <w:jc w:val="left"/>
              <w:rPr/>
            </w:pPr>
            <w:r>
              <w:rPr/>
              <w:t> </w:t>
            </w:r>
          </w:p>
        </w:tc>
        <w:tc>
          <w:tcPr>
            <w:tcW w:w="61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83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0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127,470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10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155,464</w:t>
            </w:r>
          </w:p>
        </w:tc>
        <w:tc>
          <w:tcPr>
            <w:tcW w:w="67" w:type="dxa"/>
            <w:tcBorders/>
            <w:shd w:fill="FFFFFF" w:val="clear"/>
            <w:vAlign w:val="center"/>
          </w:tcPr>
          <w:p>
            <w:pPr>
              <w:pStyle w:val="TableContents"/>
              <w:bidi w:val="0"/>
              <w:spacing w:before="0" w:after="283"/>
              <w:jc w:val="left"/>
              <w:rPr/>
            </w:pPr>
            <w:r>
              <w:rPr/>
              <w:t> </w:t>
            </w:r>
          </w:p>
        </w:tc>
      </w:tr>
      <w:tr>
        <w:trPr/>
        <w:tc>
          <w:tcPr>
            <w:tcW w:w="245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r>
      <w:tr>
        <w:trPr/>
        <w:tc>
          <w:tcPr>
            <w:tcW w:w="2458"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and industrial</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6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61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ind w:left="0" w:right="0" w:hanging="0"/>
              <w:jc w:val="left"/>
              <w:rPr/>
            </w:pPr>
            <w:r>
              <w:rPr/>
              <w:t> </w:t>
            </w:r>
          </w:p>
        </w:tc>
        <w:tc>
          <w:tcPr>
            <w:tcW w:w="61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8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0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133,668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10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140,061</w:t>
            </w:r>
          </w:p>
        </w:tc>
        <w:tc>
          <w:tcPr>
            <w:tcW w:w="67" w:type="dxa"/>
            <w:tcBorders/>
            <w:shd w:fill="FFFFFF" w:val="clear"/>
            <w:vAlign w:val="center"/>
          </w:tcPr>
          <w:p>
            <w:pPr>
              <w:pStyle w:val="TableContents"/>
              <w:bidi w:val="0"/>
              <w:spacing w:before="0" w:after="283"/>
              <w:jc w:val="left"/>
              <w:rPr/>
            </w:pPr>
            <w:r>
              <w:rPr/>
              <w:t> </w:t>
            </w:r>
          </w:p>
        </w:tc>
      </w:tr>
      <w:tr>
        <w:trPr/>
        <w:tc>
          <w:tcPr>
            <w:tcW w:w="2458"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SBA</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61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6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ind w:left="0" w:right="0" w:hanging="0"/>
              <w:jc w:val="left"/>
              <w:rPr/>
            </w:pPr>
            <w:r>
              <w:rPr/>
              <w:t> </w:t>
            </w:r>
          </w:p>
        </w:tc>
        <w:tc>
          <w:tcPr>
            <w:tcW w:w="61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8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0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10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55,978</w:t>
            </w:r>
          </w:p>
        </w:tc>
        <w:tc>
          <w:tcPr>
            <w:tcW w:w="67" w:type="dxa"/>
            <w:tcBorders/>
            <w:shd w:fill="CCEEFF" w:val="clear"/>
            <w:vAlign w:val="center"/>
          </w:tcPr>
          <w:p>
            <w:pPr>
              <w:pStyle w:val="TableContents"/>
              <w:bidi w:val="0"/>
              <w:spacing w:before="0" w:after="283"/>
              <w:jc w:val="left"/>
              <w:rPr/>
            </w:pPr>
            <w:r>
              <w:rPr/>
              <w:t> </w:t>
            </w:r>
          </w:p>
        </w:tc>
      </w:tr>
      <w:tr>
        <w:trPr/>
        <w:tc>
          <w:tcPr>
            <w:tcW w:w="245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4,397</w:t>
            </w:r>
          </w:p>
        </w:tc>
        <w:tc>
          <w:tcPr>
            <w:tcW w:w="67" w:type="dxa"/>
            <w:tcBorders/>
            <w:shd w:fill="FFFFFF" w:val="clear"/>
            <w:vAlign w:val="center"/>
          </w:tcPr>
          <w:p>
            <w:pPr>
              <w:pStyle w:val="TableContents"/>
              <w:bidi w:val="0"/>
              <w:spacing w:before="0" w:after="283"/>
              <w:jc w:val="left"/>
              <w:rPr/>
            </w:pPr>
            <w:r>
              <w:rPr/>
              <w:t> </w:t>
            </w:r>
          </w:p>
        </w:tc>
      </w:tr>
      <w:tr>
        <w:trPr/>
        <w:tc>
          <w:tcPr>
            <w:tcW w:w="2458"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44,632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3,260,880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3,314,301</w:t>
            </w:r>
          </w:p>
        </w:tc>
        <w:tc>
          <w:tcPr>
            <w:tcW w:w="67" w:type="dxa"/>
            <w:tcBorders/>
            <w:shd w:fill="CCEEFF" w:val="clear"/>
            <w:vAlign w:val="center"/>
          </w:tcPr>
          <w:p>
            <w:pPr>
              <w:pStyle w:val="TableContents"/>
              <w:bidi w:val="0"/>
              <w:spacing w:before="0" w:after="283"/>
              <w:jc w:val="left"/>
              <w:rPr/>
            </w:pPr>
            <w:r>
              <w:rPr/>
              <w:t> </w:t>
            </w:r>
          </w:p>
        </w:tc>
      </w:tr>
    </w:tbl>
    <w:tbl>
      <w:tblPr>
        <w:tblW w:w="6670" w:type="dxa"/>
        <w:jc w:val="left"/>
        <w:tblInd w:w="0" w:type="dxa"/>
        <w:tblLayout w:type="fixed"/>
        <w:tblCellMar>
          <w:top w:w="0" w:type="dxa"/>
          <w:left w:w="0" w:type="dxa"/>
          <w:bottom w:w="0" w:type="dxa"/>
          <w:right w:w="0" w:type="dxa"/>
        </w:tblCellMar>
      </w:tblPr>
      <w:tblGrid>
        <w:gridCol w:w="60"/>
        <w:gridCol w:w="230"/>
        <w:gridCol w:w="638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both"/>
              <w:rPr/>
            </w:pPr>
            <w:r>
              <w:rPr>
                <w:rFonts w:ascii="Times New Roman" w:hAnsi="Times New Roman"/>
                <w:caps w:val="false"/>
                <w:smallCaps w:val="false"/>
                <w:sz w:val="18"/>
              </w:rPr>
              <w:t>(</w:t>
            </w:r>
            <w:r>
              <w:rPr>
                <w:rStyle w:val="Emphasis"/>
                <w:rFonts w:ascii="Times New Roman" w:hAnsi="Times New Roman"/>
                <w:caps w:val="false"/>
                <w:smallCaps w:val="false"/>
                <w:sz w:val="18"/>
              </w:rPr>
              <w:t>1</w:t>
            </w:r>
            <w:r>
              <w:rPr>
                <w:rFonts w:ascii="Times New Roman" w:hAnsi="Times New Roman"/>
                <w:caps w:val="false"/>
                <w:smallCaps w:val="false"/>
                <w:sz w:val="18"/>
              </w:rPr>
              <w:t>)</w:t>
            </w:r>
          </w:p>
        </w:tc>
        <w:tc>
          <w:tcPr>
            <w:tcW w:w="6380" w:type="dxa"/>
            <w:tcBorders/>
            <w:vAlign w:val="center"/>
          </w:tcPr>
          <w:p>
            <w:pPr>
              <w:pStyle w:val="TableContents"/>
              <w:bidi w:val="0"/>
              <w:spacing w:before="0" w:after="0"/>
              <w:ind w:left="0" w:right="0" w:hanging="0"/>
              <w:jc w:val="both"/>
              <w:rPr>
                <w:caps w:val="false"/>
                <w:smallCaps w:val="false"/>
              </w:rPr>
            </w:pPr>
            <w:r>
              <w:rPr>
                <w:caps w:val="false"/>
                <w:smallCaps w:val="false"/>
              </w:rPr>
              <w:t> </w:t>
            </w:r>
            <w:r>
              <w:rPr>
                <w:rFonts w:ascii="Times New Roman" w:hAnsi="Times New Roman"/>
                <w:caps w:val="false"/>
                <w:smallCaps w:val="false"/>
                <w:sz w:val="18"/>
              </w:rPr>
              <w:t>Past due loans exclude nonaccrual loans.</w:t>
            </w:r>
          </w:p>
        </w:tc>
      </w:tr>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sz w:val="18"/>
              </w:rPr>
              <w:t>(</w:t>
            </w:r>
            <w:r>
              <w:rPr>
                <w:rStyle w:val="Emphasis"/>
                <w:sz w:val="18"/>
              </w:rPr>
              <w:t>2</w:t>
            </w:r>
            <w:r>
              <w:rPr>
                <w:sz w:val="18"/>
              </w:rPr>
              <w:t>)</w:t>
            </w:r>
          </w:p>
        </w:tc>
        <w:tc>
          <w:tcPr>
            <w:tcW w:w="6380" w:type="dxa"/>
            <w:tcBorders/>
            <w:vAlign w:val="center"/>
          </w:tcPr>
          <w:p>
            <w:pPr>
              <w:pStyle w:val="TableContents"/>
              <w:bidi w:val="0"/>
              <w:spacing w:before="0" w:after="283"/>
              <w:jc w:val="left"/>
              <w:rPr/>
            </w:pPr>
            <w:r>
              <w:rPr/>
              <w:t> </w:t>
            </w:r>
            <w:r>
              <w:rPr>
                <w:sz w:val="18"/>
              </w:rPr>
              <w:t>Nonaccrual SFR mortgage loans include $680,000 of loans in the process of foreclosure.</w:t>
            </w:r>
          </w:p>
        </w:tc>
      </w:tr>
    </w:tbl>
    <w:p>
      <w:pPr>
        <w:pStyle w:val="TextBody"/>
        <w:bidi w:val="0"/>
        <w:spacing w:before="0" w:after="0"/>
        <w:ind w:left="0" w:right="0" w:hanging="0"/>
        <w:jc w:val="left"/>
        <w:rPr/>
      </w:pPr>
      <w:r>
        <w:rPr/>
        <w:t> </w:t>
      </w:r>
    </w:p>
    <w:p>
      <w:pPr>
        <w:pStyle w:val="TextBody"/>
        <w:bidi w:val="0"/>
        <w:spacing w:before="0" w:after="0"/>
        <w:ind w:left="0" w:right="0" w:firstLine="540"/>
        <w:jc w:val="both"/>
        <w:rPr/>
      </w:pPr>
      <w:r>
        <w:rPr>
          <w:rFonts w:ascii="Times New Roman" w:hAnsi="Times New Roman"/>
          <w:caps w:val="false"/>
          <w:smallCaps w:val="false"/>
          <w:sz w:val="20"/>
        </w:rPr>
        <w:t xml:space="preserve">The following table presents the loans HFI on nonaccrual status and the balance of such loans with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ALL, by loan segment and class, as of the dates indicated:</w:t>
      </w:r>
    </w:p>
    <w:p>
      <w:pPr>
        <w:pStyle w:val="TextBody"/>
        <w:bidi w:val="0"/>
        <w:spacing w:before="0" w:after="0"/>
        <w:ind w:left="0" w:right="0" w:hanging="0"/>
        <w:jc w:val="left"/>
        <w:rPr>
          <w:caps w:val="false"/>
          <w:smallCaps w:val="false"/>
        </w:rPr>
      </w:pPr>
      <w:r>
        <w:rPr>
          <w:caps w:val="false"/>
          <w:smallCaps w:val="false"/>
        </w:rPr>
        <w:t> </w:t>
      </w:r>
    </w:p>
    <w:tbl>
      <w:tblPr>
        <w:tblW w:w="9985" w:type="dxa"/>
        <w:jc w:val="left"/>
        <w:tblInd w:w="0" w:type="dxa"/>
        <w:tblLayout w:type="fixed"/>
        <w:tblCellMar>
          <w:top w:w="0" w:type="dxa"/>
          <w:left w:w="0" w:type="dxa"/>
          <w:bottom w:w="0" w:type="dxa"/>
          <w:right w:w="0" w:type="dxa"/>
        </w:tblCellMar>
      </w:tblPr>
      <w:tblGrid>
        <w:gridCol w:w="3305"/>
        <w:gridCol w:w="60"/>
        <w:gridCol w:w="269"/>
        <w:gridCol w:w="1280"/>
        <w:gridCol w:w="60"/>
        <w:gridCol w:w="60"/>
        <w:gridCol w:w="269"/>
        <w:gridCol w:w="1280"/>
        <w:gridCol w:w="60"/>
        <w:gridCol w:w="60"/>
        <w:gridCol w:w="269"/>
        <w:gridCol w:w="1280"/>
        <w:gridCol w:w="62"/>
        <w:gridCol w:w="62"/>
        <w:gridCol w:w="269"/>
        <w:gridCol w:w="1280"/>
        <w:gridCol w:w="60"/>
      </w:tblGrid>
      <w:tr>
        <w:trPr/>
        <w:tc>
          <w:tcPr>
            <w:tcW w:w="3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1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2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60" w:type="dxa"/>
            <w:tcBorders/>
            <w:shd w:fill="FFFFFF" w:val="clear"/>
            <w:vAlign w:val="center"/>
          </w:tcPr>
          <w:p>
            <w:pPr>
              <w:pStyle w:val="TableContents"/>
              <w:bidi w:val="0"/>
              <w:spacing w:before="0" w:after="283"/>
              <w:jc w:val="left"/>
              <w:rPr/>
            </w:pPr>
            <w:r>
              <w:rPr>
                <w:rStyle w:val="Emphasis"/>
              </w:rPr>
              <w:t> </w:t>
            </w:r>
          </w:p>
        </w:tc>
      </w:tr>
      <w:tr>
        <w:trPr/>
        <w:tc>
          <w:tcPr>
            <w:tcW w:w="3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Nonaccrual Loans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Nonaccrual Loans</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54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60" w:type="dxa"/>
            <w:tcBorders/>
            <w:shd w:fill="FFFFFF" w:val="clear"/>
            <w:vAlign w:val="center"/>
          </w:tcPr>
          <w:p>
            <w:pPr>
              <w:pStyle w:val="TableContents"/>
              <w:bidi w:val="0"/>
              <w:spacing w:before="0" w:after="283"/>
              <w:jc w:val="left"/>
              <w:rPr/>
            </w:pPr>
            <w:r>
              <w:rPr>
                <w:rStyle w:val="Emphasis"/>
              </w:rPr>
              <w:t> </w:t>
            </w:r>
          </w:p>
        </w:tc>
      </w:tr>
      <w:tr>
        <w:trPr/>
        <w:tc>
          <w:tcPr>
            <w:tcW w:w="3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with no ALL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Nonaccrual Loans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with no ALL</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154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Nonaccrual Loans</w:t>
            </w:r>
          </w:p>
        </w:tc>
        <w:tc>
          <w:tcPr>
            <w:tcW w:w="60" w:type="dxa"/>
            <w:tcBorders/>
            <w:shd w:fill="FFFFFF" w:val="clear"/>
            <w:vAlign w:val="center"/>
          </w:tcPr>
          <w:p>
            <w:pPr>
              <w:pStyle w:val="TableContents"/>
              <w:bidi w:val="0"/>
              <w:spacing w:before="0" w:after="283"/>
              <w:jc w:val="left"/>
              <w:rPr/>
            </w:pPr>
            <w:r>
              <w:rPr>
                <w:rStyle w:val="Emphasis"/>
              </w:rPr>
              <w:t> </w:t>
            </w:r>
          </w:p>
        </w:tc>
      </w:tr>
      <w:tr>
        <w:trPr/>
        <w:tc>
          <w:tcPr>
            <w:tcW w:w="330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w:t>
            </w:r>
          </w:p>
        </w:tc>
        <w:tc>
          <w:tcPr>
            <w:tcW w:w="60" w:type="dxa"/>
            <w:tcBorders/>
            <w:shd w:fill="FFFFFF" w:val="clear"/>
            <w:vAlign w:val="center"/>
          </w:tcPr>
          <w:p>
            <w:pPr>
              <w:pStyle w:val="TableContents"/>
              <w:bidi w:val="0"/>
              <w:spacing w:before="0" w:after="283"/>
              <w:jc w:val="left"/>
              <w:rPr/>
            </w:pPr>
            <w:r>
              <w:rPr/>
              <w:t> </w:t>
            </w:r>
          </w:p>
        </w:tc>
        <w:tc>
          <w:tcPr>
            <w:tcW w:w="6620" w:type="dxa"/>
            <w:gridSpan w:val="15"/>
            <w:tcBorders/>
            <w:shd w:fill="FFFFFF" w:val="clear"/>
            <w:vAlign w:val="center"/>
          </w:tcPr>
          <w:p>
            <w:pPr>
              <w:pStyle w:val="TableContents"/>
              <w:bidi w:val="0"/>
              <w:spacing w:before="0" w:after="283"/>
              <w:jc w:val="center"/>
              <w:rPr/>
            </w:pPr>
            <w:r>
              <w:rPr>
                <w:rStyle w:val="Emphasis"/>
                <w:rFonts w:ascii="Times New Roman;Times;serif" w:hAnsi="Times New Roman;Times;serif"/>
                <w:b/>
                <w:i/>
                <w:sz w:val="20"/>
              </w:rPr>
              <w:t>(dollars in thousands)</w:t>
            </w:r>
          </w:p>
        </w:tc>
      </w:tr>
      <w:tr>
        <w:trPr/>
        <w:tc>
          <w:tcPr>
            <w:tcW w:w="3305"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Single-family residential mortgages</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2,143</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2,143</w:t>
            </w:r>
          </w:p>
        </w:tc>
        <w:tc>
          <w:tcPr>
            <w:tcW w:w="60" w:type="dxa"/>
            <w:tcBorders/>
            <w:shd w:fill="FFFFFF" w:val="clear"/>
            <w:vAlign w:val="center"/>
          </w:tcPr>
          <w:p>
            <w:pPr>
              <w:pStyle w:val="TableContents"/>
              <w:bidi w:val="0"/>
              <w:spacing w:before="0" w:after="283"/>
              <w:jc w:val="left"/>
              <w:rPr/>
            </w:pPr>
            <w:r>
              <w:rPr>
                <w:rStyle w:val="Emphasis"/>
              </w:rPr>
              <w:t> </w:t>
            </w:r>
          </w:p>
        </w:tc>
      </w:tr>
      <w:tr>
        <w:trPr/>
        <w:tc>
          <w:tcPr>
            <w:tcW w:w="3305"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real estate</w:t>
            </w:r>
          </w:p>
        </w:tc>
        <w:tc>
          <w:tcPr>
            <w:tcW w:w="60" w:type="dxa"/>
            <w:tcBorders/>
            <w:shd w:fill="FFFFFF" w:val="clear"/>
            <w:vAlign w:val="center"/>
          </w:tcPr>
          <w:p>
            <w:pPr>
              <w:pStyle w:val="TableContents"/>
              <w:bidi w:val="0"/>
              <w:spacing w:before="0" w:after="283"/>
              <w:ind w:left="0" w:right="0" w:hanging="0"/>
              <w:jc w:val="left"/>
              <w:rPr/>
            </w:pPr>
            <w:r>
              <w:rPr/>
              <w:t> </w:t>
            </w:r>
          </w:p>
        </w:tc>
        <w:tc>
          <w:tcPr>
            <w:tcW w:w="269" w:type="dxa"/>
            <w:tcBorders/>
            <w:shd w:fill="FFFFFF" w:val="clear"/>
            <w:vAlign w:val="center"/>
          </w:tcPr>
          <w:p>
            <w:pPr>
              <w:pStyle w:val="TableContents"/>
              <w:bidi w:val="0"/>
              <w:spacing w:before="0" w:after="283"/>
              <w:ind w:left="0" w:right="0" w:hanging="0"/>
              <w:jc w:val="left"/>
              <w:rPr/>
            </w:pPr>
            <w:r>
              <w:rPr/>
              <w:t> </w:t>
            </w:r>
          </w:p>
        </w:tc>
        <w:tc>
          <w:tcPr>
            <w:tcW w:w="12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9" w:type="dxa"/>
            <w:tcBorders/>
            <w:shd w:fill="FFFFFF" w:val="clear"/>
            <w:vAlign w:val="center"/>
          </w:tcPr>
          <w:p>
            <w:pPr>
              <w:pStyle w:val="TableContents"/>
              <w:bidi w:val="0"/>
              <w:spacing w:before="0" w:after="283"/>
              <w:ind w:left="0" w:right="0" w:hanging="0"/>
              <w:jc w:val="left"/>
              <w:rPr/>
            </w:pPr>
            <w:r>
              <w:rPr/>
              <w:t> </w:t>
            </w:r>
          </w:p>
        </w:tc>
        <w:tc>
          <w:tcPr>
            <w:tcW w:w="12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9" w:type="dxa"/>
            <w:tcBorders/>
            <w:shd w:fill="FFFFFF" w:val="clear"/>
            <w:vAlign w:val="center"/>
          </w:tcPr>
          <w:p>
            <w:pPr>
              <w:pStyle w:val="TableContents"/>
              <w:bidi w:val="0"/>
              <w:spacing w:before="0" w:after="283"/>
              <w:ind w:left="0" w:right="0" w:hanging="0"/>
              <w:jc w:val="left"/>
              <w:rPr/>
            </w:pPr>
            <w:r>
              <w:rPr/>
              <w:t> </w:t>
            </w:r>
          </w:p>
        </w:tc>
        <w:tc>
          <w:tcPr>
            <w:tcW w:w="12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4,801</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269" w:type="dxa"/>
            <w:tcBorders/>
            <w:shd w:fill="FFFFFF" w:val="clear"/>
            <w:vAlign w:val="center"/>
          </w:tcPr>
          <w:p>
            <w:pPr>
              <w:pStyle w:val="TableContents"/>
              <w:bidi w:val="0"/>
              <w:spacing w:before="0" w:after="283"/>
              <w:ind w:left="0" w:right="0" w:hanging="0"/>
              <w:jc w:val="left"/>
              <w:rPr/>
            </w:pPr>
            <w:r>
              <w:rPr/>
              <w:t> </w:t>
            </w:r>
          </w:p>
        </w:tc>
        <w:tc>
          <w:tcPr>
            <w:tcW w:w="12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8,158</w:t>
            </w:r>
          </w:p>
        </w:tc>
        <w:tc>
          <w:tcPr>
            <w:tcW w:w="60" w:type="dxa"/>
            <w:tcBorders/>
            <w:shd w:fill="FFFFFF" w:val="clear"/>
            <w:vAlign w:val="center"/>
          </w:tcPr>
          <w:p>
            <w:pPr>
              <w:pStyle w:val="TableContents"/>
              <w:bidi w:val="0"/>
              <w:spacing w:before="0" w:after="283"/>
              <w:jc w:val="left"/>
              <w:rPr/>
            </w:pPr>
            <w:r>
              <w:rPr>
                <w:rStyle w:val="Emphasis"/>
              </w:rPr>
              <w:t> </w:t>
            </w:r>
          </w:p>
        </w:tc>
      </w:tr>
      <w:tr>
        <w:trPr/>
        <w:tc>
          <w:tcPr>
            <w:tcW w:w="3305" w:type="dxa"/>
            <w:tcBorders/>
            <w:shd w:fill="CCEE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Construction and land development</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27,994</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27,994</w:t>
            </w:r>
          </w:p>
        </w:tc>
        <w:tc>
          <w:tcPr>
            <w:tcW w:w="60" w:type="dxa"/>
            <w:tcBorders/>
            <w:shd w:fill="CCEEFF" w:val="clear"/>
            <w:vAlign w:val="center"/>
          </w:tcPr>
          <w:p>
            <w:pPr>
              <w:pStyle w:val="TableContents"/>
              <w:bidi w:val="0"/>
              <w:spacing w:before="0" w:after="283"/>
              <w:jc w:val="left"/>
              <w:rPr/>
            </w:pPr>
            <w:r>
              <w:rPr>
                <w:rStyle w:val="Emphasis"/>
              </w:rPr>
              <w:t> </w:t>
            </w:r>
          </w:p>
        </w:tc>
      </w:tr>
      <w:tr>
        <w:trPr/>
        <w:tc>
          <w:tcPr>
            <w:tcW w:w="3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and industrial</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ind w:left="0" w:right="0" w:hanging="0"/>
              <w:jc w:val="left"/>
              <w:rPr/>
            </w:pPr>
            <w:r>
              <w:rPr/>
              <w:t> </w:t>
            </w:r>
          </w:p>
        </w:tc>
        <w:tc>
          <w:tcPr>
            <w:tcW w:w="12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ind w:left="0" w:right="0" w:hanging="0"/>
              <w:jc w:val="left"/>
              <w:rPr/>
            </w:pPr>
            <w:r>
              <w:rPr/>
              <w:t> </w:t>
            </w:r>
          </w:p>
        </w:tc>
        <w:tc>
          <w:tcPr>
            <w:tcW w:w="12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ind w:left="0" w:right="0" w:hanging="0"/>
              <w:jc w:val="left"/>
              <w:rPr/>
            </w:pPr>
            <w:r>
              <w:rPr/>
              <w:t> </w:t>
            </w:r>
          </w:p>
        </w:tc>
        <w:tc>
          <w:tcPr>
            <w:tcW w:w="12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5,116</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ind w:left="0" w:right="0" w:hanging="0"/>
              <w:jc w:val="left"/>
              <w:rPr/>
            </w:pPr>
            <w:r>
              <w:rPr/>
              <w:t> </w:t>
            </w:r>
          </w:p>
        </w:tc>
        <w:tc>
          <w:tcPr>
            <w:tcW w:w="12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5,116</w:t>
            </w:r>
          </w:p>
        </w:tc>
        <w:tc>
          <w:tcPr>
            <w:tcW w:w="60" w:type="dxa"/>
            <w:tcBorders/>
            <w:shd w:fill="CCEEFF" w:val="clear"/>
            <w:vAlign w:val="center"/>
          </w:tcPr>
          <w:p>
            <w:pPr>
              <w:pStyle w:val="TableContents"/>
              <w:bidi w:val="0"/>
              <w:spacing w:before="0" w:after="283"/>
              <w:jc w:val="left"/>
              <w:rPr/>
            </w:pPr>
            <w:r>
              <w:rPr>
                <w:rStyle w:val="Emphasis"/>
              </w:rPr>
              <w:t> </w:t>
            </w:r>
          </w:p>
        </w:tc>
      </w:tr>
      <w:tr>
        <w:trPr/>
        <w:tc>
          <w:tcPr>
            <w:tcW w:w="3305"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SBA</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ind w:left="0" w:right="0" w:hanging="0"/>
              <w:jc w:val="left"/>
              <w:rPr/>
            </w:pPr>
            <w:r>
              <w:rPr/>
              <w:t> </w:t>
            </w:r>
          </w:p>
        </w:tc>
        <w:tc>
          <w:tcPr>
            <w:tcW w:w="12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ind w:left="0" w:right="0" w:hanging="0"/>
              <w:jc w:val="left"/>
              <w:rPr/>
            </w:pPr>
            <w:r>
              <w:rPr/>
              <w:t> </w:t>
            </w:r>
          </w:p>
        </w:tc>
        <w:tc>
          <w:tcPr>
            <w:tcW w:w="12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ind w:left="0" w:right="0" w:hanging="0"/>
              <w:jc w:val="left"/>
              <w:rPr/>
            </w:pPr>
            <w:r>
              <w:rPr/>
              <w:t> </w:t>
            </w:r>
          </w:p>
        </w:tc>
        <w:tc>
          <w:tcPr>
            <w:tcW w:w="12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1,221</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ind w:left="0" w:right="0" w:hanging="0"/>
              <w:jc w:val="left"/>
              <w:rPr/>
            </w:pPr>
            <w:r>
              <w:rPr/>
              <w:t> </w:t>
            </w:r>
          </w:p>
        </w:tc>
        <w:tc>
          <w:tcPr>
            <w:tcW w:w="12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1,221</w:t>
            </w:r>
          </w:p>
        </w:tc>
        <w:tc>
          <w:tcPr>
            <w:tcW w:w="60" w:type="dxa"/>
            <w:tcBorders/>
            <w:shd w:fill="FFFFFF" w:val="clear"/>
            <w:vAlign w:val="center"/>
          </w:tcPr>
          <w:p>
            <w:pPr>
              <w:pStyle w:val="TableContents"/>
              <w:bidi w:val="0"/>
              <w:spacing w:before="0" w:after="283"/>
              <w:jc w:val="left"/>
              <w:rPr/>
            </w:pPr>
            <w:r>
              <w:rPr>
                <w:rStyle w:val="Emphasis"/>
              </w:rPr>
              <w:t> </w:t>
            </w:r>
          </w:p>
        </w:tc>
      </w:tr>
      <w:tr>
        <w:trPr/>
        <w:tc>
          <w:tcPr>
            <w:tcW w:w="3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ind w:left="0" w:right="0" w:hanging="0"/>
              <w:jc w:val="left"/>
              <w:rPr/>
            </w:pPr>
            <w:r>
              <w:rPr/>
              <w:t> </w:t>
            </w:r>
          </w:p>
        </w:tc>
        <w:tc>
          <w:tcPr>
            <w:tcW w:w="26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80"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80"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80"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26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80"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rStyle w:val="Emphasis"/>
              </w:rPr>
              <w:t> </w:t>
            </w:r>
          </w:p>
        </w:tc>
      </w:tr>
      <w:tr>
        <w:trPr/>
        <w:tc>
          <w:tcPr>
            <w:tcW w:w="330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2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41,275</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2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44,632</w:t>
            </w:r>
          </w:p>
        </w:tc>
        <w:tc>
          <w:tcPr>
            <w:tcW w:w="60" w:type="dxa"/>
            <w:tcBorders/>
            <w:shd w:fill="FFFFFF" w:val="clear"/>
            <w:vAlign w:val="center"/>
          </w:tcPr>
          <w:p>
            <w:pPr>
              <w:pStyle w:val="TableContents"/>
              <w:bidi w:val="0"/>
              <w:spacing w:before="0" w:after="283"/>
              <w:jc w:val="left"/>
              <w:rPr/>
            </w:pPr>
            <w:r>
              <w:rPr>
                <w:rStyle w:val="Emphasis"/>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following tables present the amortized cost basis of individually evaluated collateral-dependent loans, by loan segment and class, and type of collateral which secures such loans as of the dates indicated.</w:t>
      </w:r>
    </w:p>
    <w:p>
      <w:pPr>
        <w:pStyle w:val="TextBody"/>
        <w:bidi w:val="0"/>
        <w:spacing w:before="0" w:after="0"/>
        <w:ind w:left="0" w:right="0" w:firstLine="540"/>
        <w:jc w:val="both"/>
        <w:rPr>
          <w:caps w:val="false"/>
          <w:smallCaps w:val="false"/>
        </w:rPr>
      </w:pPr>
      <w:r>
        <w:rPr>
          <w:caps w:val="false"/>
          <w:smallCaps w:val="false"/>
        </w:rPr>
        <w:t> </w:t>
      </w:r>
    </w:p>
    <w:tbl>
      <w:tblPr>
        <w:tblW w:w="9522" w:type="dxa"/>
        <w:jc w:val="left"/>
        <w:tblInd w:w="0" w:type="dxa"/>
        <w:tblLayout w:type="fixed"/>
        <w:tblCellMar>
          <w:top w:w="0" w:type="dxa"/>
          <w:left w:w="0" w:type="dxa"/>
          <w:bottom w:w="0" w:type="dxa"/>
          <w:right w:w="0" w:type="dxa"/>
        </w:tblCellMar>
      </w:tblPr>
      <w:tblGrid>
        <w:gridCol w:w="2960"/>
        <w:gridCol w:w="60"/>
        <w:gridCol w:w="402"/>
        <w:gridCol w:w="1567"/>
        <w:gridCol w:w="60"/>
        <w:gridCol w:w="60"/>
        <w:gridCol w:w="364"/>
        <w:gridCol w:w="1725"/>
        <w:gridCol w:w="60"/>
        <w:gridCol w:w="60"/>
        <w:gridCol w:w="351"/>
        <w:gridCol w:w="943"/>
        <w:gridCol w:w="60"/>
        <w:gridCol w:w="60"/>
        <w:gridCol w:w="125"/>
        <w:gridCol w:w="590"/>
        <w:gridCol w:w="75"/>
      </w:tblGrid>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427"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75"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427"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Type of Collateral</w:t>
            </w:r>
          </w:p>
        </w:tc>
        <w:tc>
          <w:tcPr>
            <w:tcW w:w="75" w:type="dxa"/>
            <w:tcBorders/>
            <w:vAlign w:val="center"/>
          </w:tcPr>
          <w:p>
            <w:pPr>
              <w:pStyle w:val="TableContents"/>
              <w:bidi w:val="0"/>
              <w:spacing w:before="0" w:after="283"/>
              <w:jc w:val="left"/>
              <w:rPr/>
            </w:pPr>
            <w:r>
              <w:rPr/>
              <w:t> </w:t>
            </w:r>
          </w:p>
        </w:tc>
      </w:tr>
      <w:tr>
        <w:trPr/>
        <w:tc>
          <w:tcPr>
            <w:tcW w:w="296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Loan Class</w:t>
            </w:r>
          </w:p>
        </w:tc>
        <w:tc>
          <w:tcPr>
            <w:tcW w:w="60" w:type="dxa"/>
            <w:tcBorders/>
            <w:vAlign w:val="center"/>
          </w:tcPr>
          <w:p>
            <w:pPr>
              <w:pStyle w:val="TableContents"/>
              <w:bidi w:val="0"/>
              <w:spacing w:before="0" w:after="283"/>
              <w:ind w:left="0" w:right="0" w:hanging="0"/>
              <w:jc w:val="left"/>
              <w:rPr/>
            </w:pPr>
            <w:r>
              <w:rPr/>
              <w:t> </w:t>
            </w:r>
          </w:p>
        </w:tc>
        <w:tc>
          <w:tcPr>
            <w:tcW w:w="19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Residential Real Estate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Commercial Real Estate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Business Assets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75"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Real Estate:</w:t>
            </w:r>
          </w:p>
        </w:tc>
        <w:tc>
          <w:tcPr>
            <w:tcW w:w="60" w:type="dxa"/>
            <w:tcBorders/>
            <w:vAlign w:val="center"/>
          </w:tcPr>
          <w:p>
            <w:pPr>
              <w:pStyle w:val="TableContents"/>
              <w:bidi w:val="0"/>
              <w:spacing w:before="0" w:after="283"/>
              <w:ind w:left="0" w:right="0" w:hanging="0"/>
              <w:jc w:val="left"/>
              <w:rPr/>
            </w:pPr>
            <w:r>
              <w:rPr/>
              <w:t> </w:t>
            </w:r>
          </w:p>
        </w:tc>
        <w:tc>
          <w:tcPr>
            <w:tcW w:w="6427" w:type="dxa"/>
            <w:gridSpan w:val="14"/>
            <w:tcBorders/>
            <w:vAlign w:val="center"/>
          </w:tcPr>
          <w:p>
            <w:pPr>
              <w:pStyle w:val="TableContents"/>
              <w:bidi w:val="0"/>
              <w:spacing w:before="0" w:after="0"/>
              <w:ind w:left="0" w:right="0" w:hanging="0"/>
              <w:jc w:val="center"/>
              <w:rPr/>
            </w:pPr>
            <w:r>
              <w:rPr>
                <w:rStyle w:val="Emphasis"/>
                <w:rFonts w:ascii="Times New Roman;Times;serif" w:hAnsi="Times New Roman;Times;serif"/>
                <w:b/>
                <w:i/>
                <w:caps w:val="false"/>
                <w:smallCaps w:val="false"/>
                <w:sz w:val="20"/>
              </w:rPr>
              <w:t>(dollars in thousands)</w:t>
            </w:r>
          </w:p>
        </w:tc>
        <w:tc>
          <w:tcPr>
            <w:tcW w:w="75"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Single-family residential mortgages</w:t>
            </w:r>
          </w:p>
        </w:tc>
        <w:tc>
          <w:tcPr>
            <w:tcW w:w="60" w:type="dxa"/>
            <w:tcBorders/>
            <w:shd w:fill="CCEEFF" w:val="clear"/>
            <w:vAlign w:val="center"/>
          </w:tcPr>
          <w:p>
            <w:pPr>
              <w:pStyle w:val="TableContents"/>
              <w:bidi w:val="0"/>
              <w:spacing w:before="0" w:after="283"/>
              <w:ind w:left="0" w:right="0" w:hanging="0"/>
              <w:jc w:val="left"/>
              <w:rPr/>
            </w:pPr>
            <w:r>
              <w:rPr/>
              <w:t> </w:t>
            </w:r>
          </w:p>
        </w:tc>
        <w:tc>
          <w:tcPr>
            <w:tcW w:w="40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6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2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5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w:t>
            </w:r>
          </w:p>
        </w:tc>
        <w:tc>
          <w:tcPr>
            <w:tcW w:w="7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real estate</w:t>
            </w:r>
          </w:p>
        </w:tc>
        <w:tc>
          <w:tcPr>
            <w:tcW w:w="60"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ind w:left="0" w:right="0" w:hanging="0"/>
              <w:jc w:val="left"/>
              <w:rPr/>
            </w:pPr>
            <w:r>
              <w:rPr/>
              <w:t> </w:t>
            </w:r>
          </w:p>
        </w:tc>
        <w:tc>
          <w:tcPr>
            <w:tcW w:w="15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ind w:left="0" w:right="0" w:hanging="0"/>
              <w:jc w:val="left"/>
              <w:rPr/>
            </w:pPr>
            <w:r>
              <w:rPr/>
              <w:t> </w:t>
            </w:r>
          </w:p>
        </w:tc>
        <w:tc>
          <w:tcPr>
            <w:tcW w:w="17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8,146</w:t>
            </w:r>
          </w:p>
        </w:tc>
        <w:tc>
          <w:tcPr>
            <w:tcW w:w="7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Construction and land development</w:t>
            </w:r>
          </w:p>
        </w:tc>
        <w:tc>
          <w:tcPr>
            <w:tcW w:w="60" w:type="dxa"/>
            <w:tcBorders/>
            <w:shd w:fill="CCEEFF" w:val="clear"/>
            <w:vAlign w:val="center"/>
          </w:tcPr>
          <w:p>
            <w:pPr>
              <w:pStyle w:val="TableContents"/>
              <w:bidi w:val="0"/>
              <w:spacing w:before="0" w:after="283"/>
              <w:jc w:val="left"/>
              <w:rPr/>
            </w:pPr>
            <w:r>
              <w:rPr/>
              <w:t> </w:t>
            </w:r>
          </w:p>
        </w:tc>
        <w:tc>
          <w:tcPr>
            <w:tcW w:w="402" w:type="dxa"/>
            <w:tcBorders/>
            <w:shd w:fill="CCEEFF" w:val="clear"/>
            <w:vAlign w:val="center"/>
          </w:tcPr>
          <w:p>
            <w:pPr>
              <w:pStyle w:val="TableContents"/>
              <w:bidi w:val="0"/>
              <w:spacing w:before="0" w:after="283"/>
              <w:ind w:left="0" w:right="0" w:hanging="0"/>
              <w:jc w:val="left"/>
              <w:rPr/>
            </w:pPr>
            <w:r>
              <w:rPr/>
              <w:t> </w:t>
            </w:r>
          </w:p>
        </w:tc>
        <w:tc>
          <w:tcPr>
            <w:tcW w:w="156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4" w:type="dxa"/>
            <w:tcBorders/>
            <w:shd w:fill="CCEEFF" w:val="clear"/>
            <w:vAlign w:val="center"/>
          </w:tcPr>
          <w:p>
            <w:pPr>
              <w:pStyle w:val="TableContents"/>
              <w:bidi w:val="0"/>
              <w:spacing w:before="0" w:after="283"/>
              <w:ind w:left="0" w:right="0" w:hanging="0"/>
              <w:jc w:val="left"/>
              <w:rPr/>
            </w:pPr>
            <w:r>
              <w:rPr/>
              <w:t> </w:t>
            </w:r>
          </w:p>
        </w:tc>
        <w:tc>
          <w:tcPr>
            <w:tcW w:w="17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ind w:left="0" w:right="0" w:hanging="0"/>
              <w:jc w:val="left"/>
              <w:rPr/>
            </w:pPr>
            <w:r>
              <w:rPr/>
              <w:t> </w:t>
            </w:r>
          </w:p>
        </w:tc>
        <w:tc>
          <w:tcPr>
            <w:tcW w:w="94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8,072</w:t>
            </w:r>
          </w:p>
        </w:tc>
        <w:tc>
          <w:tcPr>
            <w:tcW w:w="7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w:t>
            </w:r>
          </w:p>
        </w:tc>
        <w:tc>
          <w:tcPr>
            <w:tcW w:w="60"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jc w:val="left"/>
              <w:rPr/>
            </w:pPr>
            <w:r>
              <w:rPr/>
              <w:t> </w:t>
            </w:r>
          </w:p>
        </w:tc>
        <w:tc>
          <w:tcPr>
            <w:tcW w:w="15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jc w:val="left"/>
              <w:rPr/>
            </w:pPr>
            <w:r>
              <w:rPr/>
              <w:t> </w:t>
            </w:r>
          </w:p>
        </w:tc>
        <w:tc>
          <w:tcPr>
            <w:tcW w:w="1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and industrial</w:t>
            </w:r>
          </w:p>
        </w:tc>
        <w:tc>
          <w:tcPr>
            <w:tcW w:w="60" w:type="dxa"/>
            <w:tcBorders/>
            <w:shd w:fill="CCEEFF" w:val="clear"/>
            <w:vAlign w:val="center"/>
          </w:tcPr>
          <w:p>
            <w:pPr>
              <w:pStyle w:val="TableContents"/>
              <w:bidi w:val="0"/>
              <w:spacing w:before="0" w:after="283"/>
              <w:jc w:val="left"/>
              <w:rPr/>
            </w:pPr>
            <w:r>
              <w:rPr/>
              <w:t> </w:t>
            </w:r>
          </w:p>
        </w:tc>
        <w:tc>
          <w:tcPr>
            <w:tcW w:w="402" w:type="dxa"/>
            <w:tcBorders/>
            <w:shd w:fill="CCEEFF" w:val="clear"/>
            <w:vAlign w:val="center"/>
          </w:tcPr>
          <w:p>
            <w:pPr>
              <w:pStyle w:val="TableContents"/>
              <w:bidi w:val="0"/>
              <w:spacing w:before="0" w:after="283"/>
              <w:ind w:left="0" w:right="0" w:hanging="0"/>
              <w:jc w:val="left"/>
              <w:rPr/>
            </w:pPr>
            <w:r>
              <w:rPr/>
              <w:t> </w:t>
            </w:r>
          </w:p>
        </w:tc>
        <w:tc>
          <w:tcPr>
            <w:tcW w:w="15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4" w:type="dxa"/>
            <w:tcBorders/>
            <w:shd w:fill="CCEEFF" w:val="clear"/>
            <w:vAlign w:val="center"/>
          </w:tcPr>
          <w:p>
            <w:pPr>
              <w:pStyle w:val="TableContents"/>
              <w:bidi w:val="0"/>
              <w:spacing w:before="0" w:after="283"/>
              <w:ind w:left="0" w:right="0" w:hanging="0"/>
              <w:jc w:val="left"/>
              <w:rPr/>
            </w:pPr>
            <w:r>
              <w:rPr/>
              <w:t> </w:t>
            </w:r>
          </w:p>
        </w:tc>
        <w:tc>
          <w:tcPr>
            <w:tcW w:w="172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ind w:left="0" w:right="0" w:hanging="0"/>
              <w:jc w:val="left"/>
              <w:rPr/>
            </w:pPr>
            <w:r>
              <w:rPr/>
              <w:t> </w:t>
            </w:r>
          </w:p>
        </w:tc>
        <w:tc>
          <w:tcPr>
            <w:tcW w:w="94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5,113</w:t>
            </w:r>
          </w:p>
        </w:tc>
        <w:tc>
          <w:tcPr>
            <w:tcW w:w="7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SBA</w:t>
            </w:r>
          </w:p>
        </w:tc>
        <w:tc>
          <w:tcPr>
            <w:tcW w:w="60"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ind w:left="0" w:right="0" w:hanging="0"/>
              <w:jc w:val="left"/>
              <w:rPr/>
            </w:pPr>
            <w:r>
              <w:rPr/>
              <w:t> </w:t>
            </w:r>
          </w:p>
        </w:tc>
        <w:tc>
          <w:tcPr>
            <w:tcW w:w="156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ind w:left="0" w:right="0" w:hanging="0"/>
              <w:jc w:val="left"/>
              <w:rPr/>
            </w:pPr>
            <w:r>
              <w:rPr/>
              <w:t> </w:t>
            </w:r>
          </w:p>
        </w:tc>
        <w:tc>
          <w:tcPr>
            <w:tcW w:w="17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2,029</w:t>
            </w:r>
          </w:p>
        </w:tc>
        <w:tc>
          <w:tcPr>
            <w:tcW w:w="7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4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5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7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7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36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loans</w:t>
            </w:r>
          </w:p>
        </w:tc>
        <w:tc>
          <w:tcPr>
            <w:tcW w:w="60" w:type="dxa"/>
            <w:tcBorders/>
            <w:shd w:fill="FFFFFF" w:val="clear"/>
            <w:vAlign w:val="center"/>
          </w:tcPr>
          <w:p>
            <w:pPr>
              <w:pStyle w:val="TableContents"/>
              <w:bidi w:val="0"/>
              <w:spacing w:before="0" w:after="283"/>
              <w:ind w:left="0" w:right="0" w:hanging="0"/>
              <w:jc w:val="left"/>
              <w:rPr/>
            </w:pPr>
            <w:r>
              <w:rPr/>
              <w:t> </w:t>
            </w:r>
          </w:p>
        </w:tc>
        <w:tc>
          <w:tcPr>
            <w:tcW w:w="4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6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6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23,759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tbl>
      <w:tblPr>
        <w:tblW w:w="9628" w:type="dxa"/>
        <w:jc w:val="left"/>
        <w:tblInd w:w="0" w:type="dxa"/>
        <w:tblLayout w:type="fixed"/>
        <w:tblCellMar>
          <w:top w:w="0" w:type="dxa"/>
          <w:left w:w="0" w:type="dxa"/>
          <w:bottom w:w="0" w:type="dxa"/>
          <w:right w:w="0" w:type="dxa"/>
        </w:tblCellMar>
      </w:tblPr>
      <w:tblGrid>
        <w:gridCol w:w="3125"/>
        <w:gridCol w:w="60"/>
        <w:gridCol w:w="342"/>
        <w:gridCol w:w="1627"/>
        <w:gridCol w:w="60"/>
        <w:gridCol w:w="60"/>
        <w:gridCol w:w="355"/>
        <w:gridCol w:w="1689"/>
        <w:gridCol w:w="60"/>
        <w:gridCol w:w="60"/>
        <w:gridCol w:w="420"/>
        <w:gridCol w:w="875"/>
        <w:gridCol w:w="60"/>
        <w:gridCol w:w="60"/>
        <w:gridCol w:w="125"/>
        <w:gridCol w:w="590"/>
        <w:gridCol w:w="60"/>
      </w:tblGrid>
      <w:tr>
        <w:trPr/>
        <w:tc>
          <w:tcPr>
            <w:tcW w:w="3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383"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60" w:type="dxa"/>
            <w:tcBorders/>
            <w:shd w:fill="FFFFFF" w:val="clear"/>
            <w:vAlign w:val="center"/>
          </w:tcPr>
          <w:p>
            <w:pPr>
              <w:pStyle w:val="TableContents"/>
              <w:bidi w:val="0"/>
              <w:spacing w:before="0" w:after="283"/>
              <w:jc w:val="left"/>
              <w:rPr/>
            </w:pPr>
            <w:r>
              <w:rPr>
                <w:rStyle w:val="Emphasis"/>
              </w:rPr>
              <w:t> </w:t>
            </w:r>
          </w:p>
        </w:tc>
      </w:tr>
      <w:tr>
        <w:trPr/>
        <w:tc>
          <w:tcPr>
            <w:tcW w:w="3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383"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Type of Collateral</w:t>
            </w:r>
          </w:p>
        </w:tc>
        <w:tc>
          <w:tcPr>
            <w:tcW w:w="60" w:type="dxa"/>
            <w:tcBorders/>
            <w:shd w:fill="FFFFFF" w:val="clear"/>
            <w:vAlign w:val="center"/>
          </w:tcPr>
          <w:p>
            <w:pPr>
              <w:pStyle w:val="TableContents"/>
              <w:bidi w:val="0"/>
              <w:spacing w:before="0" w:after="283"/>
              <w:ind w:left="0" w:right="0" w:hanging="0"/>
              <w:jc w:val="left"/>
              <w:rPr/>
            </w:pPr>
            <w:r>
              <w:rPr>
                <w:rStyle w:val="Emphasis"/>
              </w:rPr>
              <w:t> </w:t>
            </w:r>
          </w:p>
        </w:tc>
      </w:tr>
      <w:tr>
        <w:trPr/>
        <w:tc>
          <w:tcPr>
            <w:tcW w:w="3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Loan Class</w:t>
            </w:r>
          </w:p>
        </w:tc>
        <w:tc>
          <w:tcPr>
            <w:tcW w:w="60" w:type="dxa"/>
            <w:tcBorders/>
            <w:shd w:fill="FFFFFF" w:val="clear"/>
            <w:vAlign w:val="center"/>
          </w:tcPr>
          <w:p>
            <w:pPr>
              <w:pStyle w:val="TableContents"/>
              <w:bidi w:val="0"/>
              <w:spacing w:before="0" w:after="283"/>
              <w:ind w:left="0" w:right="0" w:hanging="0"/>
              <w:jc w:val="left"/>
              <w:rPr/>
            </w:pPr>
            <w:r>
              <w:rPr/>
              <w:t> </w:t>
            </w:r>
          </w:p>
        </w:tc>
        <w:tc>
          <w:tcPr>
            <w:tcW w:w="1969" w:type="dxa"/>
            <w:gridSpan w:val="2"/>
            <w:tcBorders>
              <w:bottom w:val="single" w:sz="2" w:space="0" w:color="000000"/>
            </w:tcBorders>
            <w:shd w:fill="FFFFFF" w:val="clear"/>
            <w:tcMar>
              <w:bottom w:w="28" w:type="dxa"/>
            </w:tcMar>
            <w:vAlign w:val="center"/>
          </w:tcPr>
          <w:p>
            <w:pPr>
              <w:pStyle w:val="TableContents"/>
              <w:bidi w:val="0"/>
              <w:spacing w:before="0" w:after="0"/>
              <w:jc w:val="center"/>
              <w:rPr/>
            </w:pPr>
            <w:r>
              <w:rPr>
                <w:rStyle w:val="Emphasis"/>
                <w:rFonts w:ascii="Times New Roman;Times;serif" w:hAnsi="Times New Roman;Times;serif"/>
                <w:b/>
                <w:sz w:val="20"/>
              </w:rPr>
              <w:t>Residential Real Estate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4" w:type="dxa"/>
            <w:gridSpan w:val="2"/>
            <w:tcBorders>
              <w:bottom w:val="single" w:sz="2" w:space="0" w:color="000000"/>
            </w:tcBorders>
            <w:shd w:fill="FFFFFF" w:val="clear"/>
            <w:tcMar>
              <w:bottom w:w="28" w:type="dxa"/>
            </w:tcMar>
            <w:vAlign w:val="center"/>
          </w:tcPr>
          <w:p>
            <w:pPr>
              <w:pStyle w:val="TableContents"/>
              <w:bidi w:val="0"/>
              <w:spacing w:before="0" w:after="0"/>
              <w:jc w:val="center"/>
              <w:rPr/>
            </w:pPr>
            <w:r>
              <w:rPr>
                <w:rStyle w:val="Emphasis"/>
                <w:rFonts w:ascii="Times New Roman;Times;serif" w:hAnsi="Times New Roman;Times;serif"/>
                <w:b/>
                <w:sz w:val="20"/>
              </w:rPr>
              <w:t>Commercial Real Estate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gridSpan w:val="2"/>
            <w:tcBorders>
              <w:bottom w:val="single" w:sz="2" w:space="0" w:color="000000"/>
            </w:tcBorders>
            <w:shd w:fill="FFFFFF" w:val="clear"/>
            <w:tcMar>
              <w:bottom w:w="28" w:type="dxa"/>
            </w:tcMar>
            <w:vAlign w:val="center"/>
          </w:tcPr>
          <w:p>
            <w:pPr>
              <w:pStyle w:val="TableContents"/>
              <w:bidi w:val="0"/>
              <w:spacing w:before="0" w:after="0"/>
              <w:jc w:val="center"/>
              <w:rPr/>
            </w:pPr>
            <w:r>
              <w:rPr>
                <w:rStyle w:val="Emphasis"/>
                <w:rFonts w:ascii="Times New Roman;Times;serif" w:hAnsi="Times New Roman;Times;serif"/>
                <w:b/>
                <w:sz w:val="20"/>
              </w:rPr>
              <w:t>Business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jc w:val="center"/>
              <w:rPr/>
            </w:pPr>
            <w:r>
              <w:rPr>
                <w:rStyle w:val="Emphasis"/>
                <w:rFonts w:ascii="Times New Roman;Times;serif" w:hAnsi="Times New Roman;Times;serif"/>
                <w:b/>
                <w:sz w:val="20"/>
              </w:rPr>
              <w:t>Total</w:t>
            </w:r>
          </w:p>
        </w:tc>
        <w:tc>
          <w:tcPr>
            <w:tcW w:w="60" w:type="dxa"/>
            <w:tcBorders/>
            <w:shd w:fill="FFFFFF" w:val="clear"/>
            <w:vAlign w:val="center"/>
          </w:tcPr>
          <w:p>
            <w:pPr>
              <w:pStyle w:val="TableContents"/>
              <w:bidi w:val="0"/>
              <w:spacing w:before="0" w:after="283"/>
              <w:jc w:val="left"/>
              <w:rPr/>
            </w:pPr>
            <w:r>
              <w:rPr>
                <w:rStyle w:val="Emphasis"/>
              </w:rPr>
              <w:t> </w:t>
            </w:r>
          </w:p>
        </w:tc>
      </w:tr>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w:t>
            </w:r>
          </w:p>
        </w:tc>
        <w:tc>
          <w:tcPr>
            <w:tcW w:w="60" w:type="dxa"/>
            <w:tcBorders/>
            <w:shd w:fill="CCEEFF" w:val="clear"/>
            <w:vAlign w:val="center"/>
          </w:tcPr>
          <w:p>
            <w:pPr>
              <w:pStyle w:val="TableContents"/>
              <w:bidi w:val="0"/>
              <w:spacing w:before="0" w:after="283"/>
              <w:jc w:val="left"/>
              <w:rPr/>
            </w:pPr>
            <w:r>
              <w:rPr/>
              <w:t> </w:t>
            </w:r>
          </w:p>
        </w:tc>
        <w:tc>
          <w:tcPr>
            <w:tcW w:w="6443" w:type="dxa"/>
            <w:gridSpan w:val="15"/>
            <w:tcBorders/>
            <w:shd w:fill="CCEEFF" w:val="clear"/>
            <w:vAlign w:val="center"/>
          </w:tcPr>
          <w:p>
            <w:pPr>
              <w:pStyle w:val="TableContents"/>
              <w:bidi w:val="0"/>
              <w:spacing w:before="0" w:after="283"/>
              <w:jc w:val="center"/>
              <w:rPr/>
            </w:pPr>
            <w:r>
              <w:rPr>
                <w:rStyle w:val="Emphasis"/>
                <w:rFonts w:ascii="Times New Roman;Times;serif" w:hAnsi="Times New Roman;Times;serif"/>
                <w:b/>
                <w:i/>
                <w:sz w:val="20"/>
              </w:rPr>
              <w:t>(dollars in thousands)</w:t>
            </w:r>
          </w:p>
        </w:tc>
      </w:tr>
      <w:tr>
        <w:trPr/>
        <w:tc>
          <w:tcPr>
            <w:tcW w:w="312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Single-family residential mortgages</w:t>
            </w:r>
          </w:p>
        </w:tc>
        <w:tc>
          <w:tcPr>
            <w:tcW w:w="60" w:type="dxa"/>
            <w:tcBorders/>
            <w:shd w:fill="FFFFFF" w:val="clear"/>
            <w:vAlign w:val="center"/>
          </w:tcPr>
          <w:p>
            <w:pPr>
              <w:pStyle w:val="TableContents"/>
              <w:bidi w:val="0"/>
              <w:spacing w:before="0" w:after="283"/>
              <w:jc w:val="left"/>
              <w:rPr/>
            </w:pPr>
            <w:r>
              <w:rPr/>
              <w:t> </w:t>
            </w:r>
          </w:p>
        </w:tc>
        <w:tc>
          <w:tcPr>
            <w:tcW w:w="34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8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2,143</w:t>
            </w:r>
          </w:p>
        </w:tc>
        <w:tc>
          <w:tcPr>
            <w:tcW w:w="60" w:type="dxa"/>
            <w:tcBorders/>
            <w:shd w:fill="FFFFFF" w:val="clear"/>
            <w:vAlign w:val="center"/>
          </w:tcPr>
          <w:p>
            <w:pPr>
              <w:pStyle w:val="TableContents"/>
              <w:bidi w:val="0"/>
              <w:spacing w:before="0" w:after="283"/>
              <w:jc w:val="left"/>
              <w:rPr/>
            </w:pPr>
            <w:r>
              <w:rPr>
                <w:rStyle w:val="Emphasis"/>
              </w:rPr>
              <w:t> </w:t>
            </w:r>
          </w:p>
        </w:tc>
      </w:tr>
      <w:tr>
        <w:trPr/>
        <w:tc>
          <w:tcPr>
            <w:tcW w:w="312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real estate</w:t>
            </w:r>
          </w:p>
        </w:tc>
        <w:tc>
          <w:tcPr>
            <w:tcW w:w="60" w:type="dxa"/>
            <w:tcBorders/>
            <w:shd w:fill="CCEEFF" w:val="clear"/>
            <w:vAlign w:val="center"/>
          </w:tcPr>
          <w:p>
            <w:pPr>
              <w:pStyle w:val="TableContents"/>
              <w:bidi w:val="0"/>
              <w:spacing w:before="0" w:after="283"/>
              <w:ind w:left="0" w:right="0" w:hanging="0"/>
              <w:jc w:val="left"/>
              <w:rPr/>
            </w:pPr>
            <w:r>
              <w:rPr/>
              <w:t> </w:t>
            </w:r>
          </w:p>
        </w:tc>
        <w:tc>
          <w:tcPr>
            <w:tcW w:w="342" w:type="dxa"/>
            <w:tcBorders/>
            <w:shd w:fill="CCEEFF" w:val="clear"/>
            <w:vAlign w:val="center"/>
          </w:tcPr>
          <w:p>
            <w:pPr>
              <w:pStyle w:val="TableContents"/>
              <w:bidi w:val="0"/>
              <w:spacing w:before="0" w:after="283"/>
              <w:ind w:left="0" w:right="0" w:hanging="0"/>
              <w:jc w:val="left"/>
              <w:rPr/>
            </w:pPr>
            <w:r>
              <w:rPr/>
              <w:t> </w:t>
            </w:r>
          </w:p>
        </w:tc>
        <w:tc>
          <w:tcPr>
            <w:tcW w:w="162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55" w:type="dxa"/>
            <w:tcBorders/>
            <w:shd w:fill="CCEEFF" w:val="clear"/>
            <w:vAlign w:val="center"/>
          </w:tcPr>
          <w:p>
            <w:pPr>
              <w:pStyle w:val="TableContents"/>
              <w:bidi w:val="0"/>
              <w:spacing w:before="0" w:after="283"/>
              <w:ind w:left="0" w:right="0" w:hanging="0"/>
              <w:jc w:val="left"/>
              <w:rPr/>
            </w:pPr>
            <w:r>
              <w:rPr/>
              <w:t> </w:t>
            </w:r>
          </w:p>
        </w:tc>
        <w:tc>
          <w:tcPr>
            <w:tcW w:w="16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0"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8,158</w:t>
            </w:r>
          </w:p>
        </w:tc>
        <w:tc>
          <w:tcPr>
            <w:tcW w:w="60" w:type="dxa"/>
            <w:tcBorders/>
            <w:shd w:fill="CCEEFF" w:val="clear"/>
            <w:vAlign w:val="center"/>
          </w:tcPr>
          <w:p>
            <w:pPr>
              <w:pStyle w:val="TableContents"/>
              <w:bidi w:val="0"/>
              <w:spacing w:before="0" w:after="283"/>
              <w:jc w:val="left"/>
              <w:rPr/>
            </w:pPr>
            <w:r>
              <w:rPr>
                <w:rStyle w:val="Emphasis"/>
              </w:rPr>
              <w:t> </w:t>
            </w:r>
          </w:p>
        </w:tc>
      </w:tr>
      <w:tr>
        <w:trPr/>
        <w:tc>
          <w:tcPr>
            <w:tcW w:w="3125"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Construction and land development</w:t>
            </w:r>
          </w:p>
        </w:tc>
        <w:tc>
          <w:tcPr>
            <w:tcW w:w="60" w:type="dxa"/>
            <w:tcBorders/>
            <w:shd w:fill="FFFFFF" w:val="clear"/>
            <w:vAlign w:val="center"/>
          </w:tcPr>
          <w:p>
            <w:pPr>
              <w:pStyle w:val="TableContents"/>
              <w:bidi w:val="0"/>
              <w:spacing w:before="0" w:after="283"/>
              <w:jc w:val="left"/>
              <w:rPr/>
            </w:pPr>
            <w:r>
              <w:rPr/>
              <w:t> </w:t>
            </w:r>
          </w:p>
        </w:tc>
        <w:tc>
          <w:tcPr>
            <w:tcW w:w="342" w:type="dxa"/>
            <w:tcBorders/>
            <w:shd w:fill="FFFFFF" w:val="clear"/>
            <w:vAlign w:val="center"/>
          </w:tcPr>
          <w:p>
            <w:pPr>
              <w:pStyle w:val="TableContents"/>
              <w:bidi w:val="0"/>
              <w:spacing w:before="0" w:after="283"/>
              <w:jc w:val="left"/>
              <w:rPr/>
            </w:pPr>
            <w:r>
              <w:rPr/>
              <w:t> </w:t>
            </w:r>
          </w:p>
        </w:tc>
        <w:tc>
          <w:tcPr>
            <w:tcW w:w="162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19,465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c>
          <w:tcPr>
            <w:tcW w:w="168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27,994</w:t>
            </w:r>
          </w:p>
        </w:tc>
        <w:tc>
          <w:tcPr>
            <w:tcW w:w="60" w:type="dxa"/>
            <w:tcBorders/>
            <w:shd w:fill="FFFFFF" w:val="clear"/>
            <w:vAlign w:val="center"/>
          </w:tcPr>
          <w:p>
            <w:pPr>
              <w:pStyle w:val="TableContents"/>
              <w:bidi w:val="0"/>
              <w:spacing w:before="0" w:after="283"/>
              <w:jc w:val="left"/>
              <w:rPr/>
            </w:pPr>
            <w:r>
              <w:rPr>
                <w:rStyle w:val="Emphasis"/>
              </w:rPr>
              <w:t> </w:t>
            </w:r>
          </w:p>
        </w:tc>
      </w:tr>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w:t>
            </w:r>
          </w:p>
        </w:tc>
        <w:tc>
          <w:tcPr>
            <w:tcW w:w="60" w:type="dxa"/>
            <w:tcBorders/>
            <w:shd w:fill="CCEEFF" w:val="clear"/>
            <w:vAlign w:val="center"/>
          </w:tcPr>
          <w:p>
            <w:pPr>
              <w:pStyle w:val="TableContents"/>
              <w:bidi w:val="0"/>
              <w:spacing w:before="0" w:after="283"/>
              <w:jc w:val="left"/>
              <w:rPr/>
            </w:pPr>
            <w:r>
              <w:rPr/>
              <w:t> </w:t>
            </w:r>
          </w:p>
        </w:tc>
        <w:tc>
          <w:tcPr>
            <w:tcW w:w="342" w:type="dxa"/>
            <w:tcBorders/>
            <w:shd w:fill="CCEEFF" w:val="clear"/>
            <w:vAlign w:val="center"/>
          </w:tcPr>
          <w:p>
            <w:pPr>
              <w:pStyle w:val="TableContents"/>
              <w:bidi w:val="0"/>
              <w:spacing w:before="0" w:after="283"/>
              <w:jc w:val="left"/>
              <w:rPr/>
            </w:pPr>
            <w:r>
              <w:rPr/>
              <w:t> </w:t>
            </w:r>
          </w:p>
        </w:tc>
        <w:tc>
          <w:tcPr>
            <w:tcW w:w="162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left"/>
              <w:rPr/>
            </w:pPr>
            <w:r>
              <w:rPr/>
              <w:t> </w:t>
            </w:r>
          </w:p>
        </w:tc>
        <w:tc>
          <w:tcPr>
            <w:tcW w:w="168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and industrial</w:t>
            </w:r>
          </w:p>
        </w:tc>
        <w:tc>
          <w:tcPr>
            <w:tcW w:w="60" w:type="dxa"/>
            <w:tcBorders/>
            <w:shd w:fill="FFFFFF" w:val="clear"/>
            <w:vAlign w:val="center"/>
          </w:tcPr>
          <w:p>
            <w:pPr>
              <w:pStyle w:val="TableContents"/>
              <w:bidi w:val="0"/>
              <w:spacing w:before="0" w:after="283"/>
              <w:jc w:val="left"/>
              <w:rPr/>
            </w:pPr>
            <w:r>
              <w:rPr/>
              <w:t> </w:t>
            </w:r>
          </w:p>
        </w:tc>
        <w:tc>
          <w:tcPr>
            <w:tcW w:w="342" w:type="dxa"/>
            <w:tcBorders/>
            <w:shd w:fill="FFFFFF" w:val="clear"/>
            <w:vAlign w:val="center"/>
          </w:tcPr>
          <w:p>
            <w:pPr>
              <w:pStyle w:val="TableContents"/>
              <w:bidi w:val="0"/>
              <w:spacing w:before="0" w:after="283"/>
              <w:ind w:left="0" w:right="0" w:hanging="0"/>
              <w:jc w:val="left"/>
              <w:rPr/>
            </w:pPr>
            <w:r>
              <w:rPr/>
              <w:t> </w:t>
            </w:r>
          </w:p>
        </w:tc>
        <w:tc>
          <w:tcPr>
            <w:tcW w:w="16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ind w:left="0" w:right="0" w:hanging="0"/>
              <w:jc w:val="left"/>
              <w:rPr/>
            </w:pPr>
            <w:r>
              <w:rPr/>
              <w:t> </w:t>
            </w:r>
          </w:p>
        </w:tc>
        <w:tc>
          <w:tcPr>
            <w:tcW w:w="168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5,116</w:t>
            </w:r>
          </w:p>
        </w:tc>
        <w:tc>
          <w:tcPr>
            <w:tcW w:w="60" w:type="dxa"/>
            <w:tcBorders/>
            <w:shd w:fill="FFFFFF" w:val="clear"/>
            <w:vAlign w:val="center"/>
          </w:tcPr>
          <w:p>
            <w:pPr>
              <w:pStyle w:val="TableContents"/>
              <w:bidi w:val="0"/>
              <w:spacing w:before="0" w:after="283"/>
              <w:jc w:val="left"/>
              <w:rPr/>
            </w:pPr>
            <w:r>
              <w:rPr>
                <w:rStyle w:val="Emphasis"/>
              </w:rPr>
              <w:t> </w:t>
            </w:r>
          </w:p>
        </w:tc>
      </w:tr>
      <w:tr>
        <w:trPr/>
        <w:tc>
          <w:tcPr>
            <w:tcW w:w="312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SBA</w:t>
            </w:r>
          </w:p>
        </w:tc>
        <w:tc>
          <w:tcPr>
            <w:tcW w:w="60" w:type="dxa"/>
            <w:tcBorders/>
            <w:shd w:fill="CCEEFF" w:val="clear"/>
            <w:vAlign w:val="center"/>
          </w:tcPr>
          <w:p>
            <w:pPr>
              <w:pStyle w:val="TableContents"/>
              <w:bidi w:val="0"/>
              <w:spacing w:before="0" w:after="283"/>
              <w:jc w:val="left"/>
              <w:rPr/>
            </w:pPr>
            <w:r>
              <w:rPr/>
              <w:t> </w:t>
            </w:r>
          </w:p>
        </w:tc>
        <w:tc>
          <w:tcPr>
            <w:tcW w:w="3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6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6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1,221</w:t>
            </w:r>
          </w:p>
        </w:tc>
        <w:tc>
          <w:tcPr>
            <w:tcW w:w="60" w:type="dxa"/>
            <w:tcBorders/>
            <w:shd w:fill="CCEEFF" w:val="clear"/>
            <w:vAlign w:val="center"/>
          </w:tcPr>
          <w:p>
            <w:pPr>
              <w:pStyle w:val="TableContents"/>
              <w:bidi w:val="0"/>
              <w:spacing w:before="0" w:after="283"/>
              <w:jc w:val="left"/>
              <w:rPr/>
            </w:pPr>
            <w:r>
              <w:rPr>
                <w:rStyle w:val="Emphasis"/>
              </w:rPr>
              <w:t> </w:t>
            </w:r>
          </w:p>
        </w:tc>
      </w:tr>
      <w:tr>
        <w:trPr/>
        <w:tc>
          <w:tcPr>
            <w:tcW w:w="3125"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loans</w:t>
            </w:r>
          </w:p>
        </w:tc>
        <w:tc>
          <w:tcPr>
            <w:tcW w:w="60" w:type="dxa"/>
            <w:tcBorders/>
            <w:shd w:fill="FFFFFF" w:val="clear"/>
            <w:vAlign w:val="center"/>
          </w:tcPr>
          <w:p>
            <w:pPr>
              <w:pStyle w:val="TableContents"/>
              <w:bidi w:val="0"/>
              <w:spacing w:before="0" w:after="283"/>
              <w:ind w:left="0" w:right="0" w:hanging="0"/>
              <w:jc w:val="left"/>
              <w:rPr/>
            </w:pPr>
            <w:r>
              <w:rPr/>
              <w:t> </w:t>
            </w:r>
          </w:p>
        </w:tc>
        <w:tc>
          <w:tcPr>
            <w:tcW w:w="3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2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26,724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8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44,632</w:t>
            </w:r>
          </w:p>
        </w:tc>
        <w:tc>
          <w:tcPr>
            <w:tcW w:w="60" w:type="dxa"/>
            <w:tcBorders/>
            <w:shd w:fill="FFFFFF" w:val="clear"/>
            <w:vAlign w:val="center"/>
          </w:tcPr>
          <w:p>
            <w:pPr>
              <w:pStyle w:val="TableContents"/>
              <w:bidi w:val="0"/>
              <w:spacing w:before="0" w:after="283"/>
              <w:jc w:val="left"/>
              <w:rPr/>
            </w:pPr>
            <w:r>
              <w:rPr>
                <w:rStyle w:val="Emphasis"/>
              </w:rPr>
              <w:t> </w:t>
            </w:r>
          </w:p>
        </w:tc>
      </w:tr>
    </w:tbl>
    <w:p>
      <w:pPr>
        <w:pStyle w:val="TextBody"/>
        <w:bidi w:val="0"/>
        <w:spacing w:before="0" w:after="0"/>
        <w:ind w:left="0" w:right="0" w:hanging="0"/>
        <w:jc w:val="left"/>
        <w:rPr/>
      </w:pPr>
      <w:r>
        <w:rPr/>
        <w:t> </w:t>
      </w:r>
    </w:p>
    <w:p>
      <w:pPr>
        <w:pStyle w:val="TextBody"/>
        <w:bidi w:val="0"/>
        <w:spacing w:before="0" w:after="0"/>
        <w:ind w:left="0" w:right="0" w:firstLine="540"/>
        <w:jc w:val="both"/>
        <w:rPr/>
      </w:pPr>
      <w:r>
        <w:rPr>
          <w:rFonts w:ascii="Times New Roman" w:hAnsi="Times New Roman"/>
          <w:caps w:val="false"/>
          <w:smallCaps w:val="false"/>
          <w:sz w:val="20"/>
        </w:rPr>
        <w:t xml:space="preserve">We did not recognize any interest income on nonaccrual loans while the loans were in nonaccrual status during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or </w:t>
      </w:r>
      <w:r>
        <w:rPr>
          <w:rStyle w:val="Emphasis"/>
          <w:rFonts w:ascii="Times New Roman" w:hAnsi="Times New Roman"/>
          <w:caps w:val="false"/>
          <w:smallCaps w:val="false"/>
          <w:sz w:val="20"/>
        </w:rPr>
        <w:t>2025.</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b/>
          <w:i/>
          <w:caps w:val="false"/>
          <w:smallCaps w:val="false"/>
          <w:sz w:val="20"/>
        </w:rPr>
        <w:t>Loan Modifications to Borrowers Experiencing Financial Difficulty</w:t>
      </w:r>
      <w:r>
        <w:rPr>
          <w:rFonts w:ascii="Times New Roman" w:hAnsi="Times New Roman"/>
          <w:caps w:val="false"/>
          <w:smallCaps w:val="false"/>
          <w:sz w:val="20"/>
        </w:rPr>
        <w:t xml:space="preserve"> - In cases where a borrower is experiencing financial difficulties, we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make certain concessionary modifications to the contractual terms. These concessions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include term extension, payment delay, principal forgiveness, interest rate reduction, or other actions intended to minimize potential losses. We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provide multiple types of concessions on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loan. When principal forgiveness is provided, the amount of forgiveness is charged-off against the allowance for loan losses. Loans modified to borrowers experiencing financial difficulty are individually evaluated for purposes of the allowance for loan losses.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following tables present loan modifications made to borrowers experiencing financial difficulty by type of modification for the periods indicated:</w:t>
      </w:r>
    </w:p>
    <w:p>
      <w:pPr>
        <w:pStyle w:val="TextBody"/>
        <w:bidi w:val="0"/>
        <w:spacing w:before="0" w:after="0"/>
        <w:ind w:left="0" w:right="0" w:firstLine="540"/>
        <w:jc w:val="both"/>
        <w:rPr>
          <w:caps w:val="false"/>
          <w:smallCaps w:val="false"/>
        </w:rPr>
      </w:pPr>
      <w:r>
        <w:rPr>
          <w:caps w:val="false"/>
          <w:smallCaps w:val="false"/>
        </w:rPr>
        <w:t> </w:t>
      </w:r>
    </w:p>
    <w:tbl>
      <w:tblPr>
        <w:tblW w:w="6268" w:type="dxa"/>
        <w:jc w:val="left"/>
        <w:tblInd w:w="0" w:type="dxa"/>
        <w:tblLayout w:type="fixed"/>
        <w:tblCellMar>
          <w:top w:w="0" w:type="dxa"/>
          <w:left w:w="0" w:type="dxa"/>
          <w:bottom w:w="0" w:type="dxa"/>
          <w:right w:w="0" w:type="dxa"/>
        </w:tblCellMar>
      </w:tblPr>
      <w:tblGrid>
        <w:gridCol w:w="1865"/>
        <w:gridCol w:w="60"/>
        <w:gridCol w:w="363"/>
        <w:gridCol w:w="976"/>
        <w:gridCol w:w="111"/>
        <w:gridCol w:w="111"/>
        <w:gridCol w:w="265"/>
        <w:gridCol w:w="711"/>
        <w:gridCol w:w="126"/>
        <w:gridCol w:w="126"/>
        <w:gridCol w:w="185"/>
        <w:gridCol w:w="1184"/>
        <w:gridCol w:w="185"/>
      </w:tblGrid>
      <w:tr>
        <w:trPr/>
        <w:tc>
          <w:tcPr>
            <w:tcW w:w="1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58"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 2026</w:t>
            </w:r>
          </w:p>
        </w:tc>
        <w:tc>
          <w:tcPr>
            <w:tcW w:w="185" w:type="dxa"/>
            <w:tcBorders/>
            <w:shd w:fill="FFFF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Term Extension</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259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 Loan Modifications</w:t>
            </w:r>
          </w:p>
        </w:tc>
        <w:tc>
          <w:tcPr>
            <w:tcW w:w="185" w:type="dxa"/>
            <w:tcBorders/>
            <w:shd w:fill="FFFFFF" w:val="clear"/>
            <w:vAlign w:val="center"/>
          </w:tcPr>
          <w:p>
            <w:pPr>
              <w:pStyle w:val="TableContents"/>
              <w:bidi w:val="0"/>
              <w:spacing w:before="0" w:after="283"/>
              <w:jc w:val="left"/>
              <w:rPr/>
            </w:pPr>
            <w:r>
              <w:rPr/>
              <w:t> </w:t>
            </w:r>
          </w:p>
        </w:tc>
      </w:tr>
      <w:tr>
        <w:trPr/>
        <w:tc>
          <w:tcPr>
            <w:tcW w:w="18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Loan Class</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Balance</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97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Balance</w:t>
            </w:r>
          </w:p>
        </w:tc>
        <w:tc>
          <w:tcPr>
            <w:tcW w:w="126"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13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 of Loan Class</w:t>
            </w:r>
          </w:p>
        </w:tc>
        <w:tc>
          <w:tcPr>
            <w:tcW w:w="185" w:type="dxa"/>
            <w:tcBorders/>
            <w:shd w:fill="FFFF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58" w:type="dxa"/>
            <w:gridSpan w:val="10"/>
            <w:tcBorders/>
            <w:shd w:fill="FFFFFF" w:val="clear"/>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(dollars in thousands)</w:t>
            </w:r>
          </w:p>
        </w:tc>
        <w:tc>
          <w:tcPr>
            <w:tcW w:w="185"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real estate</w:t>
            </w:r>
          </w:p>
        </w:tc>
        <w:tc>
          <w:tcPr>
            <w:tcW w:w="60" w:type="dxa"/>
            <w:tcBorders/>
            <w:shd w:fill="CCEEFF" w:val="clear"/>
            <w:vAlign w:val="center"/>
          </w:tcPr>
          <w:p>
            <w:pPr>
              <w:pStyle w:val="TableContents"/>
              <w:bidi w:val="0"/>
              <w:spacing w:before="0" w:after="283"/>
              <w:ind w:left="0" w:right="0" w:hanging="0"/>
              <w:jc w:val="left"/>
              <w:rPr/>
            </w:pPr>
            <w:r>
              <w:rPr/>
              <w:t> </w:t>
            </w:r>
          </w:p>
        </w:tc>
        <w:tc>
          <w:tcPr>
            <w:tcW w:w="3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664</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2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664</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1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8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36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664</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26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664</w:t>
            </w:r>
          </w:p>
        </w:tc>
        <w:tc>
          <w:tcPr>
            <w:tcW w:w="126"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right"/>
              <w:rPr/>
            </w:pPr>
            <w:r>
              <w:rPr>
                <w:rStyle w:val="Emphasis"/>
              </w:rPr>
              <w:t> </w:t>
            </w:r>
          </w:p>
        </w:tc>
        <w:tc>
          <w:tcPr>
            <w:tcW w:w="18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540"/>
        <w:jc w:val="both"/>
        <w:rPr>
          <w:caps w:val="false"/>
          <w:smallCaps w:val="false"/>
        </w:rPr>
      </w:pPr>
      <w:r>
        <w:rPr>
          <w:caps w:val="false"/>
          <w:smallCaps w:val="false"/>
        </w:rPr>
        <w:t> </w:t>
      </w:r>
    </w:p>
    <w:tbl>
      <w:tblPr>
        <w:tblW w:w="7925" w:type="dxa"/>
        <w:jc w:val="left"/>
        <w:tblInd w:w="0" w:type="dxa"/>
        <w:tblLayout w:type="fixed"/>
        <w:tblCellMar>
          <w:top w:w="0" w:type="dxa"/>
          <w:left w:w="0" w:type="dxa"/>
          <w:bottom w:w="0" w:type="dxa"/>
          <w:right w:w="0" w:type="dxa"/>
        </w:tblCellMar>
      </w:tblPr>
      <w:tblGrid>
        <w:gridCol w:w="1865"/>
        <w:gridCol w:w="60"/>
        <w:gridCol w:w="363"/>
        <w:gridCol w:w="976"/>
        <w:gridCol w:w="71"/>
        <w:gridCol w:w="71"/>
        <w:gridCol w:w="400"/>
        <w:gridCol w:w="1074"/>
        <w:gridCol w:w="71"/>
        <w:gridCol w:w="71"/>
        <w:gridCol w:w="231"/>
        <w:gridCol w:w="898"/>
        <w:gridCol w:w="110"/>
        <w:gridCol w:w="110"/>
        <w:gridCol w:w="185"/>
        <w:gridCol w:w="1184"/>
        <w:gridCol w:w="185"/>
      </w:tblGrid>
      <w:tr>
        <w:trPr/>
        <w:tc>
          <w:tcPr>
            <w:tcW w:w="1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81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 2026</w:t>
            </w:r>
          </w:p>
        </w:tc>
        <w:tc>
          <w:tcPr>
            <w:tcW w:w="185" w:type="dxa"/>
            <w:tcBorders/>
            <w:shd w:fill="FFFF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Term Extension</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14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Payment Deferral</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271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 Loan Modifications</w:t>
            </w:r>
          </w:p>
        </w:tc>
        <w:tc>
          <w:tcPr>
            <w:tcW w:w="185" w:type="dxa"/>
            <w:tcBorders/>
            <w:shd w:fill="FFFF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Balance</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14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Balance</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Balance</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13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 of Loan Class</w:t>
            </w:r>
          </w:p>
        </w:tc>
        <w:tc>
          <w:tcPr>
            <w:tcW w:w="185" w:type="dxa"/>
            <w:tcBorders/>
            <w:shd w:fill="FFFF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815"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(dollars in thousands)</w:t>
            </w:r>
          </w:p>
        </w:tc>
        <w:tc>
          <w:tcPr>
            <w:tcW w:w="185"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real estate</w:t>
            </w:r>
          </w:p>
        </w:tc>
        <w:tc>
          <w:tcPr>
            <w:tcW w:w="60" w:type="dxa"/>
            <w:tcBorders/>
            <w:shd w:fill="CCEEFF" w:val="clear"/>
            <w:vAlign w:val="center"/>
          </w:tcPr>
          <w:p>
            <w:pPr>
              <w:pStyle w:val="TableContents"/>
              <w:bidi w:val="0"/>
              <w:spacing w:before="0" w:after="283"/>
              <w:ind w:left="0" w:right="0" w:hanging="0"/>
              <w:jc w:val="left"/>
              <w:rPr/>
            </w:pPr>
            <w:r>
              <w:rPr/>
              <w:t> </w:t>
            </w:r>
          </w:p>
        </w:tc>
        <w:tc>
          <w:tcPr>
            <w:tcW w:w="3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664</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40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4" w:type="dxa"/>
            <w:tcBorders/>
            <w:shd w:fill="CCEEFF" w:val="clear"/>
            <w:vAlign w:val="center"/>
          </w:tcPr>
          <w:p>
            <w:pPr>
              <w:pStyle w:val="TableContents"/>
              <w:bidi w:val="0"/>
              <w:spacing w:before="0" w:after="283"/>
              <w:ind w:left="0" w:right="0" w:hanging="0"/>
              <w:jc w:val="right"/>
              <w:rPr/>
            </w:pPr>
            <w:r>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2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664</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1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8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SBA</w:t>
            </w:r>
          </w:p>
        </w:tc>
        <w:tc>
          <w:tcPr>
            <w:tcW w:w="60" w:type="dxa"/>
            <w:tcBorders/>
            <w:shd w:fill="FFFFFF" w:val="clear"/>
            <w:vAlign w:val="center"/>
          </w:tcPr>
          <w:p>
            <w:pPr>
              <w:pStyle w:val="TableContents"/>
              <w:bidi w:val="0"/>
              <w:spacing w:before="0" w:after="283"/>
              <w:jc w:val="left"/>
              <w:rPr/>
            </w:pPr>
            <w:r>
              <w:rPr/>
              <w:t> </w:t>
            </w:r>
          </w:p>
        </w:tc>
        <w:tc>
          <w:tcPr>
            <w:tcW w:w="3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40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656</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2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656</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1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86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3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664</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40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656</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1,320</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558"/>
        <w:gridCol w:w="60"/>
        <w:gridCol w:w="546"/>
        <w:gridCol w:w="2128"/>
        <w:gridCol w:w="70"/>
        <w:gridCol w:w="70"/>
        <w:gridCol w:w="712"/>
        <w:gridCol w:w="2770"/>
        <w:gridCol w:w="70"/>
        <w:gridCol w:w="70"/>
        <w:gridCol w:w="227"/>
        <w:gridCol w:w="673"/>
        <w:gridCol w:w="82"/>
        <w:gridCol w:w="82"/>
        <w:gridCol w:w="133"/>
        <w:gridCol w:w="746"/>
        <w:gridCol w:w="208"/>
      </w:tblGrid>
      <w:tr>
        <w:trPr/>
        <w:tc>
          <w:tcPr>
            <w:tcW w:w="15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79"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and Six Months Ended June 30, 2025</w:t>
            </w:r>
          </w:p>
        </w:tc>
        <w:tc>
          <w:tcPr>
            <w:tcW w:w="208" w:type="dxa"/>
            <w:tcBorders/>
            <w:shd w:fill="FFFFFF" w:val="clear"/>
            <w:vAlign w:val="center"/>
          </w:tcPr>
          <w:p>
            <w:pPr>
              <w:pStyle w:val="TableContents"/>
              <w:bidi w:val="0"/>
              <w:spacing w:before="0" w:after="283"/>
              <w:jc w:val="left"/>
              <w:rPr/>
            </w:pPr>
            <w:r>
              <w:rPr/>
              <w:t> </w:t>
            </w:r>
          </w:p>
        </w:tc>
      </w:tr>
      <w:tr>
        <w:trPr/>
        <w:tc>
          <w:tcPr>
            <w:tcW w:w="15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Combination - Rate Reduction and Term Modification</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348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Combination - Principal Reduction, Rate Reduction and Term Modification</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194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 Loan Modifications</w:t>
            </w:r>
          </w:p>
        </w:tc>
        <w:tc>
          <w:tcPr>
            <w:tcW w:w="208" w:type="dxa"/>
            <w:tcBorders/>
            <w:shd w:fill="FFFFFF" w:val="clear"/>
            <w:vAlign w:val="center"/>
          </w:tcPr>
          <w:p>
            <w:pPr>
              <w:pStyle w:val="TableContents"/>
              <w:bidi w:val="0"/>
              <w:spacing w:before="0" w:after="283"/>
              <w:jc w:val="left"/>
              <w:rPr/>
            </w:pPr>
            <w:r>
              <w:rPr/>
              <w:t> </w:t>
            </w:r>
          </w:p>
        </w:tc>
      </w:tr>
      <w:tr>
        <w:trPr/>
        <w:tc>
          <w:tcPr>
            <w:tcW w:w="15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Balance</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348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Balance</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9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Balance</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8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 of Loan Class</w:t>
            </w:r>
          </w:p>
        </w:tc>
        <w:tc>
          <w:tcPr>
            <w:tcW w:w="208" w:type="dxa"/>
            <w:tcBorders/>
            <w:shd w:fill="FFFFFF" w:val="clear"/>
            <w:vAlign w:val="center"/>
          </w:tcPr>
          <w:p>
            <w:pPr>
              <w:pStyle w:val="TableContents"/>
              <w:bidi w:val="0"/>
              <w:spacing w:before="0" w:after="283"/>
              <w:jc w:val="left"/>
              <w:rPr/>
            </w:pPr>
            <w:r>
              <w:rPr/>
              <w:t> </w:t>
            </w:r>
          </w:p>
        </w:tc>
      </w:tr>
      <w:tr>
        <w:trPr/>
        <w:tc>
          <w:tcPr>
            <w:tcW w:w="15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79"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(dollars in thousands)</w:t>
            </w:r>
          </w:p>
        </w:tc>
        <w:tc>
          <w:tcPr>
            <w:tcW w:w="208" w:type="dxa"/>
            <w:tcBorders/>
            <w:shd w:fill="FFFFFF" w:val="clear"/>
            <w:vAlign w:val="center"/>
          </w:tcPr>
          <w:p>
            <w:pPr>
              <w:pStyle w:val="TableContents"/>
              <w:bidi w:val="0"/>
              <w:spacing w:before="0" w:after="283"/>
              <w:jc w:val="left"/>
              <w:rPr/>
            </w:pPr>
            <w:r>
              <w:rPr/>
              <w:t> </w:t>
            </w:r>
          </w:p>
        </w:tc>
      </w:tr>
      <w:tr>
        <w:trPr/>
        <w:tc>
          <w:tcPr>
            <w:tcW w:w="155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and industrial</w:t>
            </w:r>
          </w:p>
        </w:tc>
        <w:tc>
          <w:tcPr>
            <w:tcW w:w="60" w:type="dxa"/>
            <w:tcBorders/>
            <w:shd w:fill="CCEEFF" w:val="clear"/>
            <w:vAlign w:val="center"/>
          </w:tcPr>
          <w:p>
            <w:pPr>
              <w:pStyle w:val="TableContents"/>
              <w:bidi w:val="0"/>
              <w:spacing w:before="0" w:after="283"/>
              <w:ind w:left="0" w:right="0" w:hanging="0"/>
              <w:jc w:val="left"/>
              <w:rPr/>
            </w:pPr>
            <w:r>
              <w:rPr/>
              <w:t> </w:t>
            </w:r>
          </w:p>
        </w:tc>
        <w:tc>
          <w:tcPr>
            <w:tcW w:w="54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1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4,732</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71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770" w:type="dxa"/>
            <w:tcBorders/>
            <w:shd w:fill="CCEEFF" w:val="clear"/>
            <w:vAlign w:val="center"/>
          </w:tcPr>
          <w:p>
            <w:pPr>
              <w:pStyle w:val="TableContents"/>
              <w:bidi w:val="0"/>
              <w:spacing w:before="0" w:after="283"/>
              <w:ind w:left="0" w:right="0" w:hanging="0"/>
              <w:jc w:val="right"/>
              <w:rPr/>
            </w:pPr>
            <w:r>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2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4,732</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7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w:t>
            </w:r>
          </w:p>
        </w:tc>
        <w:tc>
          <w:tcPr>
            <w:tcW w:w="2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5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real estate</w:t>
            </w:r>
          </w:p>
        </w:tc>
        <w:tc>
          <w:tcPr>
            <w:tcW w:w="60" w:type="dxa"/>
            <w:tcBorders/>
            <w:shd w:fill="FFFFFF" w:val="clear"/>
            <w:vAlign w:val="center"/>
          </w:tcPr>
          <w:p>
            <w:pPr>
              <w:pStyle w:val="TableContents"/>
              <w:bidi w:val="0"/>
              <w:spacing w:before="0" w:after="283"/>
              <w:jc w:val="left"/>
              <w:rPr/>
            </w:pPr>
            <w:r>
              <w:rPr/>
              <w:t> </w:t>
            </w:r>
          </w:p>
        </w:tc>
        <w:tc>
          <w:tcPr>
            <w:tcW w:w="5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7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3,717</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2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3,717</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7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0.29</w:t>
            </w:r>
          </w:p>
        </w:tc>
        <w:tc>
          <w:tcPr>
            <w:tcW w:w="2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58"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5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4,732</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71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7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3,717</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2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8,449</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right"/>
              <w:rPr/>
            </w:pPr>
            <w:r>
              <w:rPr>
                <w:rStyle w:val="Emphasis"/>
              </w:rPr>
              <w:t> </w:t>
            </w:r>
          </w:p>
        </w:tc>
        <w:tc>
          <w:tcPr>
            <w:tcW w:w="20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There were no modifications to borrowers experiencing financial difficulty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2025.</w:t>
      </w:r>
    </w:p>
    <w:p>
      <w:pPr>
        <w:pStyle w:val="TextBody"/>
        <w:bidi w:val="0"/>
        <w:spacing w:before="0" w:after="0"/>
        <w:ind w:left="0" w:right="0" w:firstLine="540"/>
        <w:jc w:val="both"/>
        <w:rPr>
          <w:caps w:val="false"/>
          <w:smallCaps w:val="false"/>
        </w:rPr>
      </w:pPr>
      <w:r>
        <w:rPr>
          <w:caps w:val="false"/>
          <w:smallCaps w:val="false"/>
        </w:rPr>
        <w:t> </w:t>
      </w:r>
    </w:p>
    <w:p>
      <w:pPr>
        <w:pStyle w:val="TextBody"/>
        <w:bidi w:val="0"/>
        <w:ind w:left="0" w:right="0" w:firstLine="540"/>
        <w:jc w:val="left"/>
        <w:rPr/>
      </w:pPr>
      <w:r>
        <w:rPr>
          <w:sz w:val="20"/>
          <w:shd w:fill="FFFFFF" w:val="clear"/>
        </w:rPr>
        <w:t>At</w:t>
      </w:r>
      <w:r>
        <w:rPr>
          <w:sz w:val="20"/>
        </w:rPr>
        <w:t xml:space="preserve">  </w:t>
      </w:r>
      <w:r>
        <w:rPr>
          <w:rStyle w:val="Emphasis"/>
          <w:sz w:val="20"/>
        </w:rPr>
        <w:t>June 30, 2026</w:t>
      </w:r>
      <w:r>
        <w:rPr>
          <w:sz w:val="20"/>
        </w:rPr>
        <w:t xml:space="preserve"> and </w:t>
      </w:r>
      <w:r>
        <w:rPr>
          <w:rStyle w:val="Emphasis"/>
          <w:sz w:val="20"/>
        </w:rPr>
        <w:t>December 31, 2025</w:t>
      </w:r>
      <w:r>
        <w:rPr>
          <w:sz w:val="20"/>
        </w:rPr>
        <w:t xml:space="preserve">, we had no commitments to lend to borrowers experiencing financial difficulty whose loans were modified during the period. We closely monitor the performance of loans modified to borrowers experiencing financial difficulty to understand the effectiveness of our modification efforts. The following tables present the payment status of loans that were modified during the preceding  </w:t>
      </w:r>
      <w:r>
        <w:rPr>
          <w:rStyle w:val="Emphasis"/>
          <w:sz w:val="20"/>
        </w:rPr>
        <w:t>12</w:t>
      </w:r>
      <w:r>
        <w:rPr>
          <w:sz w:val="20"/>
        </w:rPr>
        <w:t xml:space="preserve"> month period, by loan class, as of the dates indicated. </w:t>
      </w:r>
    </w:p>
    <w:p>
      <w:pPr>
        <w:pStyle w:val="TextBody"/>
        <w:bidi w:val="0"/>
        <w:spacing w:before="0" w:after="0"/>
        <w:ind w:left="0" w:right="0" w:firstLine="540"/>
        <w:jc w:val="both"/>
        <w:rPr>
          <w:caps w:val="false"/>
          <w:smallCaps w:val="false"/>
        </w:rPr>
      </w:pPr>
      <w:r>
        <w:rPr>
          <w:caps w:val="false"/>
          <w:smallCaps w:val="false"/>
        </w:rPr>
        <w:t> </w:t>
      </w:r>
    </w:p>
    <w:tbl>
      <w:tblPr>
        <w:tblW w:w="8220" w:type="dxa"/>
        <w:jc w:val="left"/>
        <w:tblInd w:w="0" w:type="dxa"/>
        <w:tblLayout w:type="fixed"/>
        <w:tblCellMar>
          <w:top w:w="0" w:type="dxa"/>
          <w:left w:w="0" w:type="dxa"/>
          <w:bottom w:w="0" w:type="dxa"/>
          <w:right w:w="0" w:type="dxa"/>
        </w:tblCellMar>
      </w:tblPr>
      <w:tblGrid>
        <w:gridCol w:w="2180"/>
        <w:gridCol w:w="60"/>
        <w:gridCol w:w="125"/>
        <w:gridCol w:w="665"/>
        <w:gridCol w:w="60"/>
        <w:gridCol w:w="60"/>
        <w:gridCol w:w="125"/>
        <w:gridCol w:w="1730"/>
        <w:gridCol w:w="60"/>
        <w:gridCol w:w="60"/>
        <w:gridCol w:w="125"/>
        <w:gridCol w:w="2180"/>
        <w:gridCol w:w="60"/>
        <w:gridCol w:w="60"/>
        <w:gridCol w:w="125"/>
        <w:gridCol w:w="485"/>
        <w:gridCol w:w="60"/>
      </w:tblGrid>
      <w:tr>
        <w:trPr/>
        <w:tc>
          <w:tcPr>
            <w:tcW w:w="21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20"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2026</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1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Loan Class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0"/>
              <w:jc w:val="center"/>
              <w:rPr/>
            </w:pPr>
            <w:r>
              <w:rPr>
                <w:rStyle w:val="Emphasis"/>
                <w:rFonts w:ascii="Times New Roman;Times;serif" w:hAnsi="Times New Roman;Times;serif"/>
                <w:b/>
                <w:sz w:val="20"/>
              </w:rPr>
              <w:t>Current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730" w:type="dxa"/>
            <w:tcBorders>
              <w:bottom w:val="single" w:sz="2" w:space="0" w:color="000000"/>
            </w:tcBorders>
            <w:shd w:fill="FFFFFF" w:val="clear"/>
            <w:tcMar>
              <w:bottom w:w="28" w:type="dxa"/>
            </w:tcMar>
            <w:vAlign w:val="center"/>
          </w:tcPr>
          <w:p>
            <w:pPr>
              <w:pStyle w:val="TableContents"/>
              <w:bidi w:val="0"/>
              <w:spacing w:before="0" w:after="0"/>
              <w:jc w:val="center"/>
              <w:rPr/>
            </w:pPr>
            <w:r>
              <w:rPr>
                <w:rStyle w:val="Emphasis"/>
                <w:rFonts w:ascii="Times New Roman;Times;serif" w:hAnsi="Times New Roman;Times;serif"/>
                <w:b/>
                <w:sz w:val="20"/>
              </w:rPr>
              <w:t>30-89 Days Past Due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2180" w:type="dxa"/>
            <w:tcBorders>
              <w:bottom w:val="single" w:sz="2" w:space="0" w:color="000000"/>
            </w:tcBorders>
            <w:shd w:fill="FFFFFF" w:val="clear"/>
            <w:tcMar>
              <w:bottom w:w="28" w:type="dxa"/>
            </w:tcMar>
            <w:vAlign w:val="center"/>
          </w:tcPr>
          <w:p>
            <w:pPr>
              <w:pStyle w:val="TableContents"/>
              <w:bidi w:val="0"/>
              <w:spacing w:before="0" w:after="0"/>
              <w:jc w:val="center"/>
              <w:rPr/>
            </w:pPr>
            <w:r>
              <w:rPr>
                <w:rStyle w:val="Emphasis"/>
                <w:rFonts w:ascii="Times New Roman;Times;serif" w:hAnsi="Times New Roman;Times;serif"/>
                <w:b/>
                <w:sz w:val="20"/>
              </w:rPr>
              <w:t>90 Days or More Past Due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Total</w:t>
            </w:r>
          </w:p>
        </w:tc>
        <w:tc>
          <w:tcPr>
            <w:tcW w:w="60" w:type="dxa"/>
            <w:tcBorders/>
            <w:shd w:fill="FFFFFF" w:val="clear"/>
            <w:vAlign w:val="center"/>
          </w:tcPr>
          <w:p>
            <w:pPr>
              <w:pStyle w:val="TableContents"/>
              <w:bidi w:val="0"/>
              <w:spacing w:before="0" w:after="0"/>
              <w:jc w:val="center"/>
              <w:rPr/>
            </w:pPr>
            <w:r>
              <w:rPr/>
              <w:t> </w:t>
            </w:r>
          </w:p>
        </w:tc>
      </w:tr>
      <w:tr>
        <w:trPr/>
        <w:tc>
          <w:tcPr>
            <w:tcW w:w="21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20"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(dollars in thousands)</w:t>
            </w:r>
          </w:p>
        </w:tc>
        <w:tc>
          <w:tcPr>
            <w:tcW w:w="60" w:type="dxa"/>
            <w:tcBorders/>
            <w:shd w:fill="FFFFFF" w:val="clear"/>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and industrial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5"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3,900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3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8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3,900</w:t>
            </w:r>
          </w:p>
        </w:tc>
        <w:tc>
          <w:tcPr>
            <w:tcW w:w="60" w:type="dxa"/>
            <w:tcBorders/>
            <w:shd w:fill="CCEEFF" w:val="clear"/>
            <w:vAlign w:val="center"/>
          </w:tcPr>
          <w:p>
            <w:pPr>
              <w:pStyle w:val="TableContents"/>
              <w:bidi w:val="0"/>
              <w:spacing w:before="0" w:after="283"/>
              <w:jc w:val="left"/>
              <w:rPr/>
            </w:pPr>
            <w:r>
              <w:rPr/>
              <w:t> </w:t>
            </w:r>
          </w:p>
        </w:tc>
      </w:tr>
      <w:tr>
        <w:trPr/>
        <w:tc>
          <w:tcPr>
            <w:tcW w:w="21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SBA</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1730" w:type="dxa"/>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218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485" w:type="dxa"/>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1,063</w:t>
            </w:r>
          </w:p>
        </w:tc>
        <w:tc>
          <w:tcPr>
            <w:tcW w:w="60" w:type="dxa"/>
            <w:tcBorders/>
            <w:shd w:fill="FFFFFF" w:val="clear"/>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real estate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730"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2180"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664</w:t>
            </w:r>
          </w:p>
        </w:tc>
        <w:tc>
          <w:tcPr>
            <w:tcW w:w="60" w:type="dxa"/>
            <w:tcBorders/>
            <w:shd w:fill="CCEEFF" w:val="clear"/>
            <w:vAlign w:val="center"/>
          </w:tcPr>
          <w:p>
            <w:pPr>
              <w:pStyle w:val="TableContents"/>
              <w:bidi w:val="0"/>
              <w:spacing w:before="0" w:after="283"/>
              <w:jc w:val="left"/>
              <w:rPr/>
            </w:pPr>
            <w:r>
              <w:rPr/>
              <w:t> </w:t>
            </w:r>
          </w:p>
        </w:tc>
      </w:tr>
      <w:tr>
        <w:trPr/>
        <w:tc>
          <w:tcPr>
            <w:tcW w:w="218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1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5,627</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8763" w:type="dxa"/>
        <w:jc w:val="left"/>
        <w:tblInd w:w="0" w:type="dxa"/>
        <w:tblLayout w:type="fixed"/>
        <w:tblCellMar>
          <w:top w:w="0" w:type="dxa"/>
          <w:left w:w="0" w:type="dxa"/>
          <w:bottom w:w="0" w:type="dxa"/>
          <w:right w:w="0" w:type="dxa"/>
        </w:tblCellMar>
      </w:tblPr>
      <w:tblGrid>
        <w:gridCol w:w="2945"/>
        <w:gridCol w:w="60"/>
        <w:gridCol w:w="125"/>
        <w:gridCol w:w="590"/>
        <w:gridCol w:w="60"/>
        <w:gridCol w:w="60"/>
        <w:gridCol w:w="557"/>
        <w:gridCol w:w="1172"/>
        <w:gridCol w:w="60"/>
        <w:gridCol w:w="60"/>
        <w:gridCol w:w="381"/>
        <w:gridCol w:w="1798"/>
        <w:gridCol w:w="60"/>
        <w:gridCol w:w="60"/>
        <w:gridCol w:w="125"/>
        <w:gridCol w:w="590"/>
        <w:gridCol w:w="60"/>
      </w:tblGrid>
      <w:tr>
        <w:trPr/>
        <w:tc>
          <w:tcPr>
            <w:tcW w:w="2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698"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2025</w:t>
            </w:r>
          </w:p>
        </w:tc>
        <w:tc>
          <w:tcPr>
            <w:tcW w:w="60" w:type="dxa"/>
            <w:tcBorders/>
            <w:shd w:fill="FFFFFF" w:val="clear"/>
            <w:vAlign w:val="center"/>
          </w:tcPr>
          <w:p>
            <w:pPr>
              <w:pStyle w:val="TableContents"/>
              <w:bidi w:val="0"/>
              <w:spacing w:before="0" w:after="283"/>
              <w:jc w:val="left"/>
              <w:rPr/>
            </w:pPr>
            <w:r>
              <w:rPr/>
              <w:t> </w:t>
            </w:r>
          </w:p>
        </w:tc>
      </w:tr>
      <w:tr>
        <w:trPr/>
        <w:tc>
          <w:tcPr>
            <w:tcW w:w="29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Loan Class</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Current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30-89 Days Past Due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90 Days or More Past Due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698"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(dollars in thousands)</w:t>
            </w:r>
          </w:p>
        </w:tc>
        <w:tc>
          <w:tcPr>
            <w:tcW w:w="6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Construction and land development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35,460</w:t>
            </w:r>
          </w:p>
        </w:tc>
        <w:tc>
          <w:tcPr>
            <w:tcW w:w="60"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real estate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57" w:type="dxa"/>
            <w:tcBorders/>
            <w:shd w:fill="FFFFFF" w:val="clear"/>
            <w:vAlign w:val="center"/>
          </w:tcPr>
          <w:p>
            <w:pPr>
              <w:pStyle w:val="TableContents"/>
              <w:bidi w:val="0"/>
              <w:spacing w:before="0" w:after="283"/>
              <w:ind w:left="0" w:right="0" w:hanging="0"/>
              <w:jc w:val="left"/>
              <w:rPr/>
            </w:pPr>
            <w:r>
              <w:rPr/>
              <w:t> </w:t>
            </w:r>
          </w:p>
        </w:tc>
        <w:tc>
          <w:tcPr>
            <w:tcW w:w="117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1" w:type="dxa"/>
            <w:tcBorders/>
            <w:shd w:fill="FFFFFF" w:val="clear"/>
            <w:vAlign w:val="center"/>
          </w:tcPr>
          <w:p>
            <w:pPr>
              <w:pStyle w:val="TableContents"/>
              <w:bidi w:val="0"/>
              <w:spacing w:before="0" w:after="283"/>
              <w:ind w:left="0" w:right="0" w:hanging="0"/>
              <w:jc w:val="left"/>
              <w:rPr/>
            </w:pPr>
            <w:r>
              <w:rPr/>
              <w:t> </w:t>
            </w:r>
          </w:p>
        </w:tc>
        <w:tc>
          <w:tcPr>
            <w:tcW w:w="179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13,884</w:t>
            </w:r>
          </w:p>
        </w:tc>
        <w:tc>
          <w:tcPr>
            <w:tcW w:w="6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and industrial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7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4,708</w:t>
            </w:r>
          </w:p>
        </w:tc>
        <w:tc>
          <w:tcPr>
            <w:tcW w:w="60"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54,052</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caps w:val="false"/>
          <w:smallCaps w:val="false"/>
        </w:rPr>
        <w:t>           </w:t>
      </w:r>
      <w:r>
        <w:rPr>
          <w:rFonts w:ascii="Times New Roman" w:hAnsi="Times New Roman"/>
          <w:caps w:val="false"/>
          <w:smallCaps w:val="false"/>
          <w:sz w:val="20"/>
        </w:rPr>
        <w:t xml:space="preserve">For the loans modified to borrowers experiencing financial difficulty during the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 prior to </w:t>
      </w:r>
      <w:r>
        <w:rPr>
          <w:rStyle w:val="Emphasis"/>
          <w:rFonts w:ascii="Times New Roman" w:hAnsi="Times New Roman"/>
          <w:caps w:val="false"/>
          <w:smallCaps w:val="false"/>
          <w:sz w:val="20"/>
        </w:rPr>
        <w:t>June 30, 2026, one</w:t>
      </w:r>
      <w:r>
        <w:rPr>
          <w:rFonts w:ascii="Times New Roman" w:hAnsi="Times New Roman"/>
          <w:caps w:val="false"/>
          <w:smallCaps w:val="false"/>
          <w:sz w:val="20"/>
        </w:rPr>
        <w:t xml:space="preserve"> SBA loan with a balance of $133,000 had a payment default of their modified terms in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For the loans modified to borrowers experiencing financial difficulty during the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 prior to </w:t>
      </w:r>
      <w:r>
        <w:rPr>
          <w:rStyle w:val="Emphasis"/>
          <w:rFonts w:ascii="Times New Roman" w:hAnsi="Times New Roman"/>
          <w:caps w:val="false"/>
          <w:smallCaps w:val="false"/>
          <w:sz w:val="20"/>
        </w:rPr>
        <w:t>June 30, 2025, two</w:t>
      </w:r>
      <w:r>
        <w:rPr>
          <w:rFonts w:ascii="Times New Roman" w:hAnsi="Times New Roman"/>
          <w:caps w:val="false"/>
          <w:smallCaps w:val="false"/>
          <w:sz w:val="20"/>
        </w:rPr>
        <w:t xml:space="preserve"> construction and land development loans totaling $35.5 million had a payment default of their modified terms in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2025.</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 LOAN SERVICING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The loans being serviced for others are </w:t>
      </w:r>
      <w:r>
        <w:rPr>
          <w:rStyle w:val="Emphasis"/>
          <w:rFonts w:ascii="Times New Roman" w:hAnsi="Times New Roman"/>
          <w:caps w:val="false"/>
          <w:smallCaps w:val="false"/>
          <w:sz w:val="20"/>
        </w:rPr>
        <w:t>not</w:t>
      </w:r>
      <w:r>
        <w:rPr>
          <w:rFonts w:ascii="Times New Roman" w:hAnsi="Times New Roman"/>
          <w:caps w:val="false"/>
          <w:smallCaps w:val="false"/>
          <w:sz w:val="20"/>
        </w:rPr>
        <w:t> reported as assets in our consolidated balance sheets. The table below presents the underlying principal balances of the loans serviced for others, by loan portfolio segment, as of the dates indicated:</w:t>
      </w:r>
    </w:p>
    <w:p>
      <w:pPr>
        <w:pStyle w:val="TextBody"/>
        <w:bidi w:val="0"/>
        <w:spacing w:before="0" w:after="0"/>
        <w:ind w:left="0" w:right="0" w:hanging="0"/>
        <w:jc w:val="both"/>
        <w:rPr>
          <w:caps w:val="false"/>
          <w:smallCaps w:val="false"/>
        </w:rPr>
      </w:pPr>
      <w:r>
        <w:rPr>
          <w:caps w:val="false"/>
          <w:smallCaps w:val="false"/>
        </w:rPr>
        <w:t> </w:t>
      </w:r>
    </w:p>
    <w:tbl>
      <w:tblPr>
        <w:tblW w:w="5509" w:type="dxa"/>
        <w:jc w:val="left"/>
        <w:tblInd w:w="0" w:type="dxa"/>
        <w:tblLayout w:type="fixed"/>
        <w:tblCellMar>
          <w:top w:w="0" w:type="dxa"/>
          <w:left w:w="0" w:type="dxa"/>
          <w:bottom w:w="0" w:type="dxa"/>
          <w:right w:w="0" w:type="dxa"/>
        </w:tblCellMar>
      </w:tblPr>
      <w:tblGrid>
        <w:gridCol w:w="3305"/>
        <w:gridCol w:w="60"/>
        <w:gridCol w:w="125"/>
        <w:gridCol w:w="695"/>
        <w:gridCol w:w="60"/>
        <w:gridCol w:w="60"/>
        <w:gridCol w:w="173"/>
        <w:gridCol w:w="971"/>
        <w:gridCol w:w="60"/>
      </w:tblGrid>
      <w:tr>
        <w:trPr/>
        <w:tc>
          <w:tcPr>
            <w:tcW w:w="3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30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Loans serviced for others:</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jc w:val="center"/>
              <w:rPr/>
            </w:pPr>
            <w:r>
              <w:rPr>
                <w:rStyle w:val="Emphasis"/>
                <w:rFonts w:ascii="Times New Roman" w:hAnsi="Times New Roman"/>
                <w:b/>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jc w:val="center"/>
              <w:rPr/>
            </w:pPr>
            <w:r>
              <w:rPr>
                <w:rStyle w:val="Emphasis"/>
                <w:rFonts w:ascii="Times New Roman" w:hAnsi="Times New Roman"/>
                <w:b/>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84" w:type="dxa"/>
            <w:gridSpan w:val="6"/>
            <w:tcBorders/>
            <w:shd w:fill="FFFFFF" w:val="clear"/>
            <w:vAlign w:val="center"/>
          </w:tcPr>
          <w:p>
            <w:pPr>
              <w:pStyle w:val="TableContents"/>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(dollars in thousands)</w:t>
            </w:r>
          </w:p>
        </w:tc>
        <w:tc>
          <w:tcPr>
            <w:tcW w:w="6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Single-family residential mortgage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803,175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833,704</w:t>
            </w:r>
          </w:p>
        </w:tc>
        <w:tc>
          <w:tcPr>
            <w:tcW w:w="6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SBA</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96,652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97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90,364</w:t>
            </w:r>
          </w:p>
        </w:tc>
        <w:tc>
          <w:tcPr>
            <w:tcW w:w="6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Construction and land development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97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9,018</w:t>
            </w:r>
          </w:p>
        </w:tc>
        <w:tc>
          <w:tcPr>
            <w:tcW w:w="6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Commercial real estate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97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2,420</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Servicing income is recorded for fees earned for servicing loans. The fees are based on a contractual percentage of the outstanding principal. The amortization of mortgage servicing assets is net against loan servicing income. Loan servicing income, net of amortization, totaled $533,000, $504,000, and $541,000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March 31,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June 30, 2025</w:t>
      </w:r>
      <w:r>
        <w:rPr>
          <w:rFonts w:ascii="Times New Roman" w:hAnsi="Times New Roman"/>
          <w:caps w:val="false"/>
          <w:smallCaps w:val="false"/>
          <w:sz w:val="20"/>
        </w:rPr>
        <w:t>, an</w:t>
      </w:r>
      <w:r>
        <w:rPr>
          <w:rFonts w:ascii="Times New Roman" w:hAnsi="Times New Roman"/>
          <w:caps w:val="false"/>
          <w:smallCaps w:val="false"/>
          <w:sz w:val="20"/>
          <w:shd w:fill="FFFFFF" w:val="clear"/>
        </w:rPr>
        <w:t xml:space="preserve">d </w:t>
      </w:r>
      <w:r>
        <w:rPr>
          <w:rFonts w:ascii="Times New Roman" w:hAnsi="Times New Roman"/>
          <w:caps w:val="false"/>
          <w:smallCaps w:val="false"/>
          <w:sz w:val="20"/>
        </w:rPr>
        <w:t xml:space="preserve">$1.0 million and $1.1 million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both"/>
        <w:rPr/>
      </w:pPr>
      <w:r>
        <w:rPr>
          <w:rFonts w:ascii="Times New Roman" w:hAnsi="Times New Roman"/>
          <w:caps w:val="false"/>
          <w:smallCaps w:val="false"/>
          <w:sz w:val="20"/>
        </w:rPr>
        <w:t xml:space="preserve">When mortgage and SBA loans are sold with servicing retained, servicing assets are initially recorded at fair value with the income statement effect recorded in gains on sales of loans. Servicing assets are evaluated for impairment based upon the fair value of the assets as compared to carrying amount. Impairment is recognized through a valuation allowance for an individual grouping, to the extent that fair value is less than the carrying amount. If we later determine that all or a portion of the impairment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exists for a particular grouping, a reduction of the allowance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recorded as an increase to income.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table below presents the activity in the servicing assets for the periods indicated:</w:t>
      </w:r>
    </w:p>
    <w:p>
      <w:pPr>
        <w:pStyle w:val="TextBody"/>
        <w:bidi w:val="0"/>
        <w:spacing w:before="0" w:after="0"/>
        <w:ind w:left="0" w:right="0" w:firstLine="180"/>
        <w:jc w:val="left"/>
        <w:rPr>
          <w:caps w:val="false"/>
          <w:smallCaps w:val="false"/>
        </w:rPr>
      </w:pPr>
      <w:r>
        <w:rPr>
          <w:caps w:val="false"/>
          <w:smallCaps w:val="false"/>
        </w:rPr>
        <w:t> </w:t>
      </w:r>
    </w:p>
    <w:tbl>
      <w:tblPr>
        <w:tblW w:w="6875" w:type="dxa"/>
        <w:jc w:val="left"/>
        <w:tblInd w:w="0" w:type="dxa"/>
        <w:tblLayout w:type="fixed"/>
        <w:tblCellMar>
          <w:top w:w="0" w:type="dxa"/>
          <w:left w:w="0" w:type="dxa"/>
          <w:bottom w:w="0" w:type="dxa"/>
          <w:right w:w="0" w:type="dxa"/>
        </w:tblCellMar>
      </w:tblPr>
      <w:tblGrid>
        <w:gridCol w:w="1670"/>
        <w:gridCol w:w="60"/>
        <w:gridCol w:w="173"/>
        <w:gridCol w:w="672"/>
        <w:gridCol w:w="80"/>
        <w:gridCol w:w="60"/>
        <w:gridCol w:w="125"/>
        <w:gridCol w:w="485"/>
        <w:gridCol w:w="80"/>
        <w:gridCol w:w="60"/>
        <w:gridCol w:w="173"/>
        <w:gridCol w:w="672"/>
        <w:gridCol w:w="80"/>
        <w:gridCol w:w="60"/>
        <w:gridCol w:w="125"/>
        <w:gridCol w:w="485"/>
        <w:gridCol w:w="80"/>
        <w:gridCol w:w="60"/>
        <w:gridCol w:w="173"/>
        <w:gridCol w:w="672"/>
        <w:gridCol w:w="80"/>
        <w:gridCol w:w="60"/>
        <w:gridCol w:w="125"/>
        <w:gridCol w:w="485"/>
        <w:gridCol w:w="80"/>
      </w:tblGrid>
      <w:tr>
        <w:trPr/>
        <w:tc>
          <w:tcPr>
            <w:tcW w:w="1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65"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 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2025</w:t>
            </w:r>
          </w:p>
        </w:tc>
        <w:tc>
          <w:tcPr>
            <w:tcW w:w="80" w:type="dxa"/>
            <w:tcBorders/>
            <w:shd w:fill="FFFFFF" w:val="cle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Mortgage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SBA</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Mortgage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SBA</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Mortgage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SBA</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167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Loans</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Loans</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Loans</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Loans</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Loans</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Loans</w:t>
            </w:r>
          </w:p>
        </w:tc>
        <w:tc>
          <w:tcPr>
            <w:tcW w:w="80" w:type="dxa"/>
            <w:tcBorders/>
            <w:shd w:fill="FFFFFF" w:val="clear"/>
            <w:vAlign w:val="center"/>
          </w:tcPr>
          <w:p>
            <w:pPr>
              <w:pStyle w:val="TableContents"/>
              <w:bidi w:val="0"/>
              <w:spacing w:before="0" w:after="0"/>
              <w:jc w:val="left"/>
              <w:rPr/>
            </w:pPr>
            <w:r>
              <w:rPr/>
              <w:t> </w:t>
            </w:r>
          </w:p>
        </w:tc>
      </w:tr>
      <w:tr>
        <w:trPr/>
        <w:tc>
          <w:tcPr>
            <w:tcW w:w="16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Servicing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5065" w:type="dxa"/>
            <w:gridSpan w:val="2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i/>
                <w:caps w:val="false"/>
                <w:smallCaps w:val="false"/>
                <w:sz w:val="20"/>
              </w:rPr>
              <w:t>(dollars in thousands)</w:t>
            </w:r>
          </w:p>
        </w:tc>
        <w:tc>
          <w:tcPr>
            <w:tcW w:w="80" w:type="dxa"/>
            <w:tcBorders/>
            <w:shd w:fill="FFFFFF" w:val="clear"/>
            <w:vAlign w:val="center"/>
          </w:tcPr>
          <w:p>
            <w:pPr>
              <w:pStyle w:val="TableContents"/>
              <w:bidi w:val="0"/>
              <w:spacing w:before="0" w:after="283"/>
              <w:jc w:val="left"/>
              <w:rPr/>
            </w:pPr>
            <w:r>
              <w:rPr/>
              <w:t> </w:t>
            </w:r>
          </w:p>
        </w:tc>
      </w:tr>
      <w:tr>
        <w:trPr/>
        <w:tc>
          <w:tcPr>
            <w:tcW w:w="167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1,342</w:t>
            </w:r>
          </w:p>
        </w:tc>
        <w:tc>
          <w:tcPr>
            <w:tcW w:w="80" w:type="dxa"/>
            <w:tcBorders/>
            <w:shd w:fill="CCEEFF" w:val="cle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Additions</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80" w:type="dxa"/>
            <w:tcBorders/>
            <w:shd w:fill="FFFFFF" w:val="clear"/>
            <w:vAlign w:val="center"/>
          </w:tcPr>
          <w:p>
            <w:pPr>
              <w:pStyle w:val="TableContents"/>
              <w:bidi w:val="0"/>
              <w:spacing w:before="0" w:after="283"/>
              <w:jc w:val="left"/>
              <w:rPr/>
            </w:pPr>
            <w:r>
              <w:rPr/>
              <w:t> </w:t>
            </w:r>
          </w:p>
        </w:tc>
      </w:tr>
      <w:tr>
        <w:trPr/>
        <w:tc>
          <w:tcPr>
            <w:tcW w:w="167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Payoffs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67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67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1,299</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5500" w:type="dxa"/>
        <w:jc w:val="left"/>
        <w:tblInd w:w="0" w:type="dxa"/>
        <w:tblLayout w:type="fixed"/>
        <w:tblCellMar>
          <w:top w:w="0" w:type="dxa"/>
          <w:left w:w="0" w:type="dxa"/>
          <w:bottom w:w="0" w:type="dxa"/>
          <w:right w:w="0" w:type="dxa"/>
        </w:tblCellMar>
      </w:tblPr>
      <w:tblGrid>
        <w:gridCol w:w="2030"/>
        <w:gridCol w:w="60"/>
        <w:gridCol w:w="173"/>
        <w:gridCol w:w="672"/>
        <w:gridCol w:w="80"/>
        <w:gridCol w:w="60"/>
        <w:gridCol w:w="125"/>
        <w:gridCol w:w="485"/>
        <w:gridCol w:w="80"/>
        <w:gridCol w:w="60"/>
        <w:gridCol w:w="173"/>
        <w:gridCol w:w="672"/>
        <w:gridCol w:w="80"/>
        <w:gridCol w:w="60"/>
        <w:gridCol w:w="125"/>
        <w:gridCol w:w="485"/>
        <w:gridCol w:w="80"/>
      </w:tblGrid>
      <w:tr>
        <w:trPr/>
        <w:tc>
          <w:tcPr>
            <w:tcW w:w="20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30"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w:t>
            </w:r>
          </w:p>
        </w:tc>
        <w:tc>
          <w:tcPr>
            <w:tcW w:w="80" w:type="dxa"/>
            <w:tcBorders/>
            <w:shd w:fill="FFFFFF" w:val="clear"/>
            <w:vAlign w:val="center"/>
          </w:tcPr>
          <w:p>
            <w:pPr>
              <w:pStyle w:val="TableContents"/>
              <w:bidi w:val="0"/>
              <w:spacing w:before="0" w:after="283"/>
              <w:jc w:val="left"/>
              <w:rPr/>
            </w:pPr>
            <w:r>
              <w:rPr/>
              <w:t> </w:t>
            </w:r>
          </w:p>
        </w:tc>
      </w:tr>
      <w:tr>
        <w:trPr/>
        <w:tc>
          <w:tcPr>
            <w:tcW w:w="20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2025</w:t>
            </w:r>
          </w:p>
        </w:tc>
        <w:tc>
          <w:tcPr>
            <w:tcW w:w="80" w:type="dxa"/>
            <w:tcBorders/>
            <w:shd w:fill="FFFFFF" w:val="clear"/>
            <w:vAlign w:val="center"/>
          </w:tcPr>
          <w:p>
            <w:pPr>
              <w:pStyle w:val="TableContents"/>
              <w:bidi w:val="0"/>
              <w:spacing w:before="0" w:after="283"/>
              <w:jc w:val="left"/>
              <w:rPr/>
            </w:pPr>
            <w:r>
              <w:rPr/>
              <w:t> </w:t>
            </w:r>
          </w:p>
        </w:tc>
      </w:tr>
      <w:tr>
        <w:trPr/>
        <w:tc>
          <w:tcPr>
            <w:tcW w:w="20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Mortgage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SBA</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Mortgage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SBA</w:t>
            </w:r>
          </w:p>
        </w:tc>
        <w:tc>
          <w:tcPr>
            <w:tcW w:w="80" w:type="dxa"/>
            <w:tcBorders/>
            <w:shd w:fill="FFFFFF" w:val="clear"/>
            <w:vAlign w:val="center"/>
          </w:tcPr>
          <w:p>
            <w:pPr>
              <w:pStyle w:val="TableContents"/>
              <w:bidi w:val="0"/>
              <w:spacing w:before="0" w:after="283"/>
              <w:jc w:val="left"/>
              <w:rPr/>
            </w:pPr>
            <w:r>
              <w:rPr/>
              <w:t> </w:t>
            </w:r>
          </w:p>
        </w:tc>
      </w:tr>
      <w:tr>
        <w:trPr/>
        <w:tc>
          <w:tcPr>
            <w:tcW w:w="20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Loans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Loans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Loans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Loans</w:t>
            </w:r>
          </w:p>
        </w:tc>
        <w:tc>
          <w:tcPr>
            <w:tcW w:w="80" w:type="dxa"/>
            <w:tcBorders/>
            <w:shd w:fill="FFFFFF" w:val="clear"/>
            <w:vAlign w:val="center"/>
          </w:tcPr>
          <w:p>
            <w:pPr>
              <w:pStyle w:val="TableContents"/>
              <w:bidi w:val="0"/>
              <w:spacing w:before="0" w:after="283"/>
              <w:jc w:val="left"/>
              <w:rPr/>
            </w:pPr>
            <w:r>
              <w:rPr/>
              <w:t> </w:t>
            </w:r>
          </w:p>
        </w:tc>
      </w:tr>
      <w:tr>
        <w:trPr/>
        <w:tc>
          <w:tcPr>
            <w:tcW w:w="20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Servicing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3330" w:type="dxa"/>
            <w:gridSpan w:val="14"/>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i/>
                <w:caps w:val="false"/>
                <w:smallCaps w:val="false"/>
                <w:sz w:val="20"/>
              </w:rPr>
              <w:t>(dollars in thousands)</w:t>
            </w:r>
          </w:p>
        </w:tc>
        <w:tc>
          <w:tcPr>
            <w:tcW w:w="80" w:type="dxa"/>
            <w:tcBorders/>
            <w:shd w:fill="FFFFFF" w:val="clear"/>
            <w:vAlign w:val="center"/>
          </w:tcPr>
          <w:p>
            <w:pPr>
              <w:pStyle w:val="TableContents"/>
              <w:bidi w:val="0"/>
              <w:spacing w:before="0" w:after="283"/>
              <w:jc w:val="left"/>
              <w:rPr/>
            </w:pPr>
            <w:r>
              <w:rPr/>
              <w:t> </w:t>
            </w:r>
          </w:p>
        </w:tc>
      </w:tr>
      <w:tr>
        <w:trPr/>
        <w:tc>
          <w:tcPr>
            <w:tcW w:w="2030"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1,329</w:t>
            </w:r>
          </w:p>
        </w:tc>
        <w:tc>
          <w:tcPr>
            <w:tcW w:w="80" w:type="dxa"/>
            <w:tcBorders/>
            <w:shd w:fill="CCEEFF" w:val="clear"/>
            <w:vAlign w:val="center"/>
          </w:tcPr>
          <w:p>
            <w:pPr>
              <w:pStyle w:val="TableContents"/>
              <w:bidi w:val="0"/>
              <w:spacing w:before="0" w:after="283"/>
              <w:jc w:val="left"/>
              <w:rPr/>
            </w:pPr>
            <w:r>
              <w:rPr/>
              <w:t> </w:t>
            </w:r>
          </w:p>
        </w:tc>
      </w:tr>
      <w:tr>
        <w:trPr/>
        <w:tc>
          <w:tcPr>
            <w:tcW w:w="2030"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Additions</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w:t>
            </w:r>
          </w:p>
        </w:tc>
        <w:tc>
          <w:tcPr>
            <w:tcW w:w="80" w:type="dxa"/>
            <w:tcBorders/>
            <w:shd w:fill="FFFFFF" w:val="clear"/>
            <w:vAlign w:val="center"/>
          </w:tcPr>
          <w:p>
            <w:pPr>
              <w:pStyle w:val="TableContents"/>
              <w:bidi w:val="0"/>
              <w:spacing w:before="0" w:after="283"/>
              <w:jc w:val="left"/>
              <w:rPr/>
            </w:pPr>
            <w:r>
              <w:rPr/>
              <w:t> </w:t>
            </w:r>
          </w:p>
        </w:tc>
      </w:tr>
      <w:tr>
        <w:trPr/>
        <w:tc>
          <w:tcPr>
            <w:tcW w:w="2030"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Payoffs</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030"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030"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1,299</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Fair value is estimated using a valuation model that calculates the present value of estimated future net servicing cash flows. All classes of servicing assets are subsequently measured using the amortization method, which requires servicing assets to be amortized into noninterest income in proportion to, and over the period of, the estimated future net servicing income of the underlying loans. Portfolio characteristics include loan delinquency rates, age of loans, note rate and geography. The assumptions embedded in the valuation are obtained from a range of metrics utilized by active buyers in the marketplace. The analysis accounts for recent transactions, and supply and demand within the market.</w:t>
      </w:r>
    </w:p>
    <w:p>
      <w:pPr>
        <w:pStyle w:val="TextBody"/>
        <w:bidi w:val="0"/>
        <w:spacing w:before="0" w:after="0"/>
        <w:ind w:left="0" w:right="0" w:firstLine="540"/>
        <w:jc w:val="both"/>
        <w:rPr/>
      </w:pPr>
      <w:r>
        <w:rPr/>
        <w:t> </w:t>
      </w:r>
    </w:p>
    <w:p>
      <w:pPr>
        <w:pStyle w:val="TextBody"/>
        <w:bidi w:val="0"/>
        <w:spacing w:before="0" w:after="0"/>
        <w:ind w:left="0" w:right="0" w:firstLine="540"/>
        <w:jc w:val="both"/>
        <w:rPr/>
      </w:pPr>
      <w:r>
        <w:rPr>
          <w:rFonts w:ascii="Times New Roman;Times;serif" w:hAnsi="Times New Roman;Times;serif"/>
          <w:sz w:val="20"/>
        </w:rPr>
        <w:t>The fair value of servicing assets for mortgage loans was $</w:t>
      </w:r>
      <w:r>
        <w:rPr>
          <w:rFonts w:ascii="Times New Roman;Times;serif" w:hAnsi="Times New Roman;Times;serif"/>
          <w:sz w:val="20"/>
          <w:shd w:fill="FFFFFF" w:val="clear"/>
        </w:rPr>
        <w:t xml:space="preserve">9.5 million </w:t>
      </w:r>
      <w:r>
        <w:rPr>
          <w:rFonts w:ascii="Times New Roman;Times;serif" w:hAnsi="Times New Roman;Times;serif"/>
          <w:sz w:val="20"/>
        </w:rPr>
        <w:t xml:space="preserve">and $9.7 million as of </w:t>
      </w:r>
      <w:r>
        <w:rPr>
          <w:rStyle w:val="Emphasis"/>
          <w:rFonts w:ascii="Times New Roman;Times;serif" w:hAnsi="Times New Roman;Times;serif"/>
          <w:sz w:val="20"/>
        </w:rPr>
        <w:t>June 30, 2026</w:t>
      </w:r>
      <w:r>
        <w:rPr>
          <w:rFonts w:ascii="Times New Roman;Times;serif" w:hAnsi="Times New Roman;Times;serif"/>
          <w:sz w:val="20"/>
        </w:rPr>
        <w:t> and </w:t>
      </w:r>
      <w:r>
        <w:rPr>
          <w:rStyle w:val="Emphasis"/>
          <w:rFonts w:ascii="Times New Roman;Times;serif" w:hAnsi="Times New Roman;Times;serif"/>
          <w:sz w:val="20"/>
        </w:rPr>
        <w:t xml:space="preserve"> December 31, 2025</w:t>
      </w:r>
      <w:r>
        <w:rPr>
          <w:rFonts w:ascii="Times New Roman;Times;serif" w:hAnsi="Times New Roman;Times;serif"/>
          <w:sz w:val="20"/>
        </w:rPr>
        <w:t xml:space="preserve">. This fair value at </w:t>
      </w:r>
      <w:r>
        <w:rPr>
          <w:rStyle w:val="Emphasis"/>
          <w:rFonts w:ascii="Times New Roman;Times;serif" w:hAnsi="Times New Roman;Times;serif"/>
          <w:sz w:val="20"/>
        </w:rPr>
        <w:t>June 30, 2026</w:t>
      </w:r>
      <w:r>
        <w:rPr>
          <w:rFonts w:ascii="Times New Roman;Times;serif" w:hAnsi="Times New Roman;Times;serif"/>
          <w:sz w:val="20"/>
        </w:rPr>
        <w:t xml:space="preserve"> was determined using an average discount rate of </w:t>
      </w:r>
      <w:r>
        <w:rPr>
          <w:rFonts w:ascii="Times New Roman;Times;serif" w:hAnsi="Times New Roman;Times;serif"/>
          <w:sz w:val="20"/>
          <w:shd w:fill="FFFFFF" w:val="clear"/>
        </w:rPr>
        <w:t>10.06%</w:t>
      </w:r>
      <w:r>
        <w:rPr>
          <w:rFonts w:ascii="Times New Roman;Times;serif" w:hAnsi="Times New Roman;Times;serif"/>
          <w:sz w:val="20"/>
        </w:rPr>
        <w:t>, average prepayment speed of</w:t>
      </w:r>
      <w:r>
        <w:rPr>
          <w:rFonts w:ascii="Times New Roman;Times;serif" w:hAnsi="Times New Roman;Times;serif"/>
          <w:sz w:val="20"/>
          <w:shd w:fill="FFFFFF" w:val="clear"/>
        </w:rPr>
        <w:t xml:space="preserve"> 7.63%, d</w:t>
      </w:r>
      <w:r>
        <w:rPr>
          <w:rFonts w:ascii="Times New Roman;Times;serif" w:hAnsi="Times New Roman;Times;serif"/>
          <w:sz w:val="20"/>
        </w:rPr>
        <w:t>epending on the stratification of the specific right, and a weighted-average default rate o</w:t>
      </w:r>
      <w:r>
        <w:rPr>
          <w:rFonts w:ascii="Times New Roman;Times;serif" w:hAnsi="Times New Roman;Times;serif"/>
          <w:sz w:val="20"/>
          <w:shd w:fill="FFFFFF" w:val="clear"/>
        </w:rPr>
        <w:t>f 0.09%.</w:t>
      </w:r>
      <w:r>
        <w:rPr>
          <w:rFonts w:ascii="Times New Roman;Times;serif" w:hAnsi="Times New Roman;Times;serif"/>
          <w:sz w:val="20"/>
        </w:rPr>
        <w:t xml:space="preserve"> This fair value at </w:t>
      </w:r>
      <w:r>
        <w:rPr>
          <w:rStyle w:val="Emphasis"/>
          <w:rFonts w:ascii="Times New Roman;Times;serif" w:hAnsi="Times New Roman;Times;serif"/>
          <w:sz w:val="20"/>
        </w:rPr>
        <w:t>December 31, 2025</w:t>
      </w:r>
      <w:r>
        <w:rPr>
          <w:rFonts w:ascii="Times New Roman;Times;serif" w:hAnsi="Times New Roman;Times;serif"/>
          <w:sz w:val="20"/>
        </w:rPr>
        <w:t xml:space="preserve"> was determined using an average discount rate of 10.09%, average prepayment speed of 7.93%, depending on the stratification of the specific right, and a weighted-average default rate of 0.11%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The fair value of servicing assets for SBA loans w</w:t>
      </w:r>
      <w:r>
        <w:rPr>
          <w:rFonts w:ascii="Times New Roman" w:hAnsi="Times New Roman"/>
          <w:caps w:val="false"/>
          <w:smallCaps w:val="false"/>
          <w:sz w:val="20"/>
          <w:shd w:fill="FFFFFF" w:val="clear"/>
        </w:rPr>
        <w:t xml:space="preserve">as $1.9 million </w:t>
      </w:r>
      <w:r>
        <w:rPr>
          <w:rFonts w:ascii="Times New Roman" w:hAnsi="Times New Roman"/>
          <w:caps w:val="false"/>
          <w:smallCaps w:val="false"/>
          <w:sz w:val="20"/>
        </w:rPr>
        <w:t xml:space="preserve">and $1.8 million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This fair value at </w:t>
      </w:r>
      <w:r>
        <w:rPr>
          <w:rStyle w:val="Emphasis"/>
          <w:rFonts w:ascii="Times New Roman" w:hAnsi="Times New Roman"/>
          <w:caps w:val="false"/>
          <w:smallCaps w:val="false"/>
          <w:sz w:val="20"/>
        </w:rPr>
        <w:t>June 30, 2026</w:t>
      </w:r>
      <w:r>
        <w:rPr>
          <w:rFonts w:ascii="Times New Roman" w:hAnsi="Times New Roman"/>
          <w:caps w:val="false"/>
          <w:smallCaps w:val="false"/>
          <w:sz w:val="20"/>
        </w:rPr>
        <w:t> was determined using an average discount rate of</w:t>
      </w:r>
      <w:r>
        <w:rPr>
          <w:rFonts w:ascii="Times New Roman" w:hAnsi="Times New Roman"/>
          <w:caps w:val="false"/>
          <w:smallCaps w:val="false"/>
          <w:sz w:val="20"/>
          <w:shd w:fill="FFFFFF" w:val="clear"/>
        </w:rPr>
        <w:t xml:space="preserve"> 8.5%, </w:t>
      </w:r>
      <w:r>
        <w:rPr>
          <w:rFonts w:ascii="Times New Roman" w:hAnsi="Times New Roman"/>
          <w:caps w:val="false"/>
          <w:smallCaps w:val="false"/>
          <w:sz w:val="20"/>
        </w:rPr>
        <w:t>average prepayment speed of</w:t>
      </w:r>
      <w:r>
        <w:rPr>
          <w:rFonts w:ascii="Times New Roman" w:hAnsi="Times New Roman"/>
          <w:caps w:val="false"/>
          <w:smallCaps w:val="false"/>
          <w:sz w:val="20"/>
          <w:shd w:fill="FFFFFF" w:val="clear"/>
        </w:rPr>
        <w:t xml:space="preserve"> 28%</w:t>
      </w:r>
      <w:r>
        <w:rPr>
          <w:rFonts w:ascii="Times New Roman" w:hAnsi="Times New Roman"/>
          <w:caps w:val="false"/>
          <w:smallCaps w:val="false"/>
          <w:sz w:val="20"/>
        </w:rPr>
        <w:t>, depending on the stratification of the specific right, and a weighted-average default rate o</w:t>
      </w:r>
      <w:r>
        <w:rPr>
          <w:rFonts w:ascii="Times New Roman" w:hAnsi="Times New Roman"/>
          <w:caps w:val="false"/>
          <w:smallCaps w:val="false"/>
          <w:sz w:val="20"/>
          <w:shd w:fill="FFFFFF" w:val="clear"/>
        </w:rPr>
        <w:t>f 1.04%. T</w:t>
      </w:r>
      <w:r>
        <w:rPr>
          <w:rFonts w:ascii="Times New Roman" w:hAnsi="Times New Roman"/>
          <w:caps w:val="false"/>
          <w:smallCaps w:val="false"/>
          <w:sz w:val="20"/>
        </w:rPr>
        <w:t xml:space="preserve">his fair value at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was determined using an average discount rate of 8.5%, average prepayment speed of 27%, depending on the stratification of the specific right, and a weighted-average default rate of 1.13%.</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6</w:t>
      </w:r>
      <w:r>
        <w:rPr>
          <w:rFonts w:ascii="Times New Roman" w:hAnsi="Times New Roman"/>
          <w:b/>
          <w:caps w:val="false"/>
          <w:smallCaps w:val="false"/>
          <w:sz w:val="20"/>
        </w:rPr>
        <w:t xml:space="preserve"> - GOODWILL AND INTANGIBLES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Goodwill is generally determined as the excess of the fair value of the consideration transferred, plus the fair value of any noncontrolling interests in the acquiree, over the fair value of the net assets acquired and liabilities assumed as of the acquisition date. Goodwill resulting from whole bank and branch acquisitions is tested for impairment at least annually during the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quarter of each year, and more frequently, if events or circumstances indicate the value of goodwill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impaired. We completed our most recent evaluation of goodwill as of </w:t>
      </w:r>
      <w:r>
        <w:rPr>
          <w:rStyle w:val="Emphasis"/>
          <w:rFonts w:ascii="Times New Roman" w:hAnsi="Times New Roman"/>
          <w:caps w:val="false"/>
          <w:smallCaps w:val="false"/>
          <w:sz w:val="20"/>
        </w:rPr>
        <w:t>October 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r>
        <w:rPr>
          <w:rFonts w:ascii="Times New Roman" w:hAnsi="Times New Roman"/>
          <w:caps w:val="false"/>
          <w:smallCaps w:val="false"/>
          <w:sz w:val="20"/>
        </w:rPr>
        <w:t> and determined that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goodwill impairment existed. Goodwill totaled $71.5 million at both </w:t>
      </w:r>
      <w:r>
        <w:rPr>
          <w:rStyle w:val="Emphasis"/>
          <w:rFonts w:ascii="Times New Roman" w:hAnsi="Times New Roman"/>
          <w:caps w:val="false"/>
          <w:smallCaps w:val="false"/>
          <w:sz w:val="20"/>
        </w:rPr>
        <w:t>June 30, 2026</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and is the only intangible asset with an indefinite life on our consolidated balance sheets. There were no triggering events during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half of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that caused management to evaluate goodwill for impairment as of </w:t>
      </w:r>
      <w:r>
        <w:rPr>
          <w:rStyle w:val="Emphasis"/>
          <w:rFonts w:ascii="Times New Roman" w:hAnsi="Times New Roman"/>
          <w:caps w:val="false"/>
          <w:smallCaps w:val="false"/>
          <w:sz w:val="20"/>
        </w:rPr>
        <w:t>June 30, 2026</w:t>
      </w:r>
      <w:r>
        <w:rPr>
          <w:rFonts w:ascii="Times New Roman" w:hAnsi="Times New Roman"/>
          <w:i/>
          <w:caps w:val="false"/>
          <w:smallCaps w:val="false"/>
          <w:sz w:val="20"/>
        </w:rPr>
        <w:t>.</w:t>
      </w:r>
      <w:r>
        <w:rPr>
          <w:rFonts w:ascii="Times New Roman" w:hAnsi="Times New Roman"/>
          <w:caps w:val="false"/>
          <w:smallCaps w:val="false"/>
          <w:sz w:val="20"/>
        </w:rPr>
        <w:t>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Other intangible assets also include core deposit intangible (“CDI”) assets which arise from acquiring deposit bases through whole bank and branch acquisitions. CDI assets are amortized on an accelerated method over their estimated useful life of 8 to 10 years. The unamortized balance (included in “Accrued interest and other assets” in the consolidated balance sheets) at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wa</w:t>
      </w:r>
      <w:r>
        <w:rPr>
          <w:rFonts w:ascii="Times New Roman" w:hAnsi="Times New Roman"/>
          <w:caps w:val="false"/>
          <w:smallCaps w:val="false"/>
          <w:sz w:val="20"/>
          <w:shd w:fill="FFFFFF" w:val="clear"/>
        </w:rPr>
        <w:t xml:space="preserve">s </w:t>
      </w:r>
      <w:r>
        <w:rPr>
          <w:rFonts w:ascii="Times New Roman" w:hAnsi="Times New Roman"/>
          <w:caps w:val="false"/>
          <w:smallCaps w:val="false"/>
          <w:sz w:val="20"/>
        </w:rPr>
        <w:t xml:space="preserve">$1.1 million and $1.3 million. CDI amortization expense was $127,000, $134,000, and $172,000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March 31,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June 30, 2025</w:t>
      </w:r>
      <w:r>
        <w:rPr>
          <w:rFonts w:ascii="Times New Roman" w:hAnsi="Times New Roman"/>
          <w:caps w:val="false"/>
          <w:smallCaps w:val="false"/>
          <w:sz w:val="20"/>
        </w:rPr>
        <w:t xml:space="preserve">, and $261,000 and $344,000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Estimated CDI amortization expense for future years is as follows:</w:t>
      </w:r>
    </w:p>
    <w:p>
      <w:pPr>
        <w:pStyle w:val="TextBody"/>
        <w:bidi w:val="0"/>
        <w:spacing w:before="0" w:after="0"/>
        <w:ind w:left="0" w:right="0" w:hanging="0"/>
        <w:jc w:val="left"/>
        <w:rPr>
          <w:caps w:val="false"/>
          <w:smallCaps w:val="false"/>
        </w:rPr>
      </w:pPr>
      <w:r>
        <w:rPr>
          <w:caps w:val="false"/>
          <w:smallCaps w:val="false"/>
        </w:rPr>
        <w:t> </w:t>
      </w:r>
    </w:p>
    <w:tbl>
      <w:tblPr>
        <w:tblW w:w="4674" w:type="dxa"/>
        <w:jc w:val="left"/>
        <w:tblInd w:w="0" w:type="dxa"/>
        <w:tblLayout w:type="fixed"/>
        <w:tblCellMar>
          <w:top w:w="0" w:type="dxa"/>
          <w:left w:w="0" w:type="dxa"/>
          <w:bottom w:w="0" w:type="dxa"/>
          <w:right w:w="0" w:type="dxa"/>
        </w:tblCellMar>
      </w:tblPr>
      <w:tblGrid>
        <w:gridCol w:w="2300"/>
        <w:gridCol w:w="60"/>
        <w:gridCol w:w="461"/>
        <w:gridCol w:w="1793"/>
        <w:gridCol w:w="60"/>
      </w:tblGrid>
      <w:tr>
        <w:trPr/>
        <w:tc>
          <w:tcPr>
            <w:tcW w:w="23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left"/>
              <w:rPr/>
            </w:pPr>
            <w:r>
              <w:rPr/>
              <w:t> </w:t>
            </w:r>
          </w:p>
        </w:tc>
        <w:tc>
          <w:tcPr>
            <w:tcW w:w="179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30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 of June 30, 2026:</w:t>
            </w:r>
          </w:p>
        </w:tc>
        <w:tc>
          <w:tcPr>
            <w:tcW w:w="60" w:type="dxa"/>
            <w:tcBorders/>
            <w:shd w:fill="FFFFFF" w:val="clear"/>
            <w:vAlign w:val="center"/>
          </w:tcPr>
          <w:p>
            <w:pPr>
              <w:pStyle w:val="TableContents"/>
              <w:bidi w:val="0"/>
              <w:spacing w:before="0" w:after="283"/>
              <w:ind w:left="0" w:right="0" w:hanging="0"/>
              <w:jc w:val="left"/>
              <w:rPr/>
            </w:pPr>
            <w:r>
              <w:rPr/>
              <w:t> </w:t>
            </w:r>
          </w:p>
        </w:tc>
        <w:tc>
          <w:tcPr>
            <w:tcW w:w="2254"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CDI Amortization Expense</w:t>
            </w:r>
          </w:p>
        </w:tc>
        <w:tc>
          <w:tcPr>
            <w:tcW w:w="60" w:type="dxa"/>
            <w:tcBorders/>
            <w:shd w:fill="FFFFFF" w:val="clear"/>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54" w:type="dxa"/>
            <w:gridSpan w:val="2"/>
            <w:tcBorders/>
            <w:shd w:fill="CCEEFF" w:val="clear"/>
            <w:vAlign w:val="center"/>
          </w:tcPr>
          <w:p>
            <w:pPr>
              <w:pStyle w:val="TableContents"/>
              <w:bidi w:val="0"/>
              <w:spacing w:before="0" w:after="283"/>
              <w:jc w:val="center"/>
              <w:rPr>
                <w:rFonts w:ascii="Times New Roman;Times;serif" w:hAnsi="Times New Roman;Times;serif"/>
                <w:b/>
                <w:i/>
                <w:sz w:val="20"/>
              </w:rPr>
            </w:pPr>
            <w:r>
              <w:rPr>
                <w:rFonts w:ascii="Times New Roman;Times;serif" w:hAnsi="Times New Roman;Times;serif"/>
                <w:b/>
                <w:i/>
                <w:sz w:val="20"/>
              </w:rPr>
              <w:t>(dollars in thousands)</w:t>
            </w:r>
          </w:p>
        </w:tc>
        <w:tc>
          <w:tcPr>
            <w:tcW w:w="60" w:type="dxa"/>
            <w:tcBorders/>
            <w:shd w:fill="CCEEFF" w:val="clear"/>
            <w:vAlign w:val="center"/>
          </w:tcPr>
          <w:p>
            <w:pPr>
              <w:pStyle w:val="TableContents"/>
              <w:bidi w:val="0"/>
              <w:spacing w:before="0" w:after="283"/>
              <w:jc w:val="left"/>
              <w:rPr/>
            </w:pPr>
            <w:r>
              <w:rPr/>
              <w:t> </w:t>
            </w:r>
          </w:p>
        </w:tc>
      </w:tr>
      <w:tr>
        <w:trPr/>
        <w:tc>
          <w:tcPr>
            <w:tcW w:w="2300" w:type="dxa"/>
            <w:tcBorders/>
            <w:shd w:fill="FFFFFF" w:val="clear"/>
            <w:vAlign w:val="center"/>
          </w:tcPr>
          <w:p>
            <w:pPr>
              <w:pStyle w:val="TableContents"/>
              <w:bidi w:val="0"/>
              <w:spacing w:before="0" w:after="0"/>
              <w:ind w:left="0" w:right="0" w:firstLine="7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Remainder of 2026</w:t>
            </w:r>
          </w:p>
        </w:tc>
        <w:tc>
          <w:tcPr>
            <w:tcW w:w="60" w:type="dxa"/>
            <w:tcBorders/>
            <w:shd w:fill="FFFFFF" w:val="clear"/>
            <w:vAlign w:val="center"/>
          </w:tcPr>
          <w:p>
            <w:pPr>
              <w:pStyle w:val="TableContents"/>
              <w:bidi w:val="0"/>
              <w:spacing w:before="0" w:after="283"/>
              <w:ind w:left="0" w:right="0" w:hanging="0"/>
              <w:jc w:val="left"/>
              <w:rPr/>
            </w:pPr>
            <w:r>
              <w:rPr/>
              <w:t> </w:t>
            </w:r>
          </w:p>
        </w:tc>
        <w:tc>
          <w:tcPr>
            <w:tcW w:w="46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w:t>
            </w:r>
          </w:p>
        </w:tc>
        <w:tc>
          <w:tcPr>
            <w:tcW w:w="60" w:type="dxa"/>
            <w:tcBorders/>
            <w:shd w:fill="FFFFFF" w:val="clear"/>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0"/>
              <w:ind w:left="0" w:right="0" w:firstLine="7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ind w:left="0" w:right="0" w:hanging="0"/>
              <w:jc w:val="left"/>
              <w:rPr/>
            </w:pPr>
            <w:r>
              <w:rPr/>
              <w:t> </w:t>
            </w:r>
          </w:p>
        </w:tc>
        <w:tc>
          <w:tcPr>
            <w:tcW w:w="17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417</w:t>
            </w:r>
          </w:p>
        </w:tc>
        <w:tc>
          <w:tcPr>
            <w:tcW w:w="60" w:type="dxa"/>
            <w:tcBorders/>
            <w:shd w:fill="CCEEFF" w:val="clear"/>
            <w:vAlign w:val="center"/>
          </w:tcPr>
          <w:p>
            <w:pPr>
              <w:pStyle w:val="TableContents"/>
              <w:bidi w:val="0"/>
              <w:spacing w:before="0" w:after="283"/>
              <w:jc w:val="left"/>
              <w:rPr/>
            </w:pPr>
            <w:r>
              <w:rPr/>
              <w:t> </w:t>
            </w:r>
          </w:p>
        </w:tc>
      </w:tr>
      <w:tr>
        <w:trPr/>
        <w:tc>
          <w:tcPr>
            <w:tcW w:w="2300" w:type="dxa"/>
            <w:tcBorders/>
            <w:shd w:fill="FFFFFF" w:val="clear"/>
            <w:vAlign w:val="center"/>
          </w:tcPr>
          <w:p>
            <w:pPr>
              <w:pStyle w:val="TableContents"/>
              <w:bidi w:val="0"/>
              <w:spacing w:before="0" w:after="0"/>
              <w:ind w:left="0" w:right="0" w:firstLine="7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ind w:left="0" w:right="0" w:hanging="0"/>
              <w:jc w:val="left"/>
              <w:rPr/>
            </w:pPr>
            <w:r>
              <w:rPr/>
              <w:t> </w:t>
            </w:r>
          </w:p>
        </w:tc>
        <w:tc>
          <w:tcPr>
            <w:tcW w:w="17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w:t>
            </w:r>
          </w:p>
        </w:tc>
        <w:tc>
          <w:tcPr>
            <w:tcW w:w="60" w:type="dxa"/>
            <w:tcBorders/>
            <w:shd w:fill="FFFFFF" w:val="clear"/>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0"/>
              <w:ind w:left="0" w:right="0" w:firstLine="7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ind w:left="0" w:right="0" w:hanging="0"/>
              <w:jc w:val="left"/>
              <w:rPr/>
            </w:pPr>
            <w:r>
              <w:rPr/>
              <w:t> </w:t>
            </w:r>
          </w:p>
        </w:tc>
        <w:tc>
          <w:tcPr>
            <w:tcW w:w="17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w:t>
            </w:r>
          </w:p>
        </w:tc>
        <w:tc>
          <w:tcPr>
            <w:tcW w:w="60" w:type="dxa"/>
            <w:tcBorders/>
            <w:shd w:fill="CCEEFF" w:val="clear"/>
            <w:vAlign w:val="center"/>
          </w:tcPr>
          <w:p>
            <w:pPr>
              <w:pStyle w:val="TableContents"/>
              <w:bidi w:val="0"/>
              <w:spacing w:before="0" w:after="283"/>
              <w:jc w:val="left"/>
              <w:rPr/>
            </w:pPr>
            <w:r>
              <w:rPr/>
              <w:t> </w:t>
            </w:r>
          </w:p>
        </w:tc>
      </w:tr>
      <w:tr>
        <w:trPr/>
        <w:tc>
          <w:tcPr>
            <w:tcW w:w="2300" w:type="dxa"/>
            <w:tcBorders/>
            <w:shd w:fill="FFFFFF" w:val="clear"/>
            <w:vAlign w:val="center"/>
          </w:tcPr>
          <w:p>
            <w:pPr>
              <w:pStyle w:val="TableContents"/>
              <w:bidi w:val="0"/>
              <w:spacing w:before="0" w:after="0"/>
              <w:ind w:left="0" w:right="0" w:firstLine="7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2030</w:t>
            </w:r>
          </w:p>
        </w:tc>
        <w:tc>
          <w:tcPr>
            <w:tcW w:w="60"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ind w:left="0" w:right="0" w:hanging="0"/>
              <w:jc w:val="left"/>
              <w:rPr/>
            </w:pPr>
            <w:r>
              <w:rPr/>
              <w:t> </w:t>
            </w:r>
          </w:p>
        </w:tc>
        <w:tc>
          <w:tcPr>
            <w:tcW w:w="17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60" w:type="dxa"/>
            <w:tcBorders/>
            <w:shd w:fill="FFFFFF" w:val="clear"/>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0"/>
              <w:ind w:left="0" w:right="0" w:firstLine="72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Thereafter</w:t>
            </w:r>
          </w:p>
        </w:tc>
        <w:tc>
          <w:tcPr>
            <w:tcW w:w="60" w:type="dxa"/>
            <w:tcBorders/>
            <w:shd w:fill="CCEEFF" w:val="clear"/>
            <w:vAlign w:val="center"/>
          </w:tcPr>
          <w:p>
            <w:pPr>
              <w:pStyle w:val="TableContents"/>
              <w:bidi w:val="0"/>
              <w:spacing w:before="0" w:after="283"/>
              <w:jc w:val="left"/>
              <w:rPr/>
            </w:pPr>
            <w:r>
              <w:rPr/>
              <w:t> </w:t>
            </w:r>
          </w:p>
        </w:tc>
        <w:tc>
          <w:tcPr>
            <w:tcW w:w="4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7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60" w:type="dxa"/>
            <w:tcBorders/>
            <w:shd w:fill="CCEEFF" w:val="clear"/>
            <w:vAlign w:val="center"/>
          </w:tcPr>
          <w:p>
            <w:pPr>
              <w:pStyle w:val="TableContents"/>
              <w:bidi w:val="0"/>
              <w:spacing w:before="0" w:after="283"/>
              <w:jc w:val="left"/>
              <w:rPr/>
            </w:pPr>
            <w:r>
              <w:rPr/>
              <w:t> </w:t>
            </w:r>
          </w:p>
        </w:tc>
      </w:tr>
      <w:tr>
        <w:trPr/>
        <w:tc>
          <w:tcPr>
            <w:tcW w:w="2300" w:type="dxa"/>
            <w:tcBorders/>
            <w:shd w:fill="FFFFFF" w:val="clear"/>
            <w:vAlign w:val="center"/>
          </w:tcPr>
          <w:p>
            <w:pPr>
              <w:pStyle w:val="TableContents"/>
              <w:bidi w:val="0"/>
              <w:spacing w:before="0" w:after="0"/>
              <w:ind w:left="0" w:right="0" w:firstLine="90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46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9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1,078</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7</w:t>
      </w:r>
      <w:r>
        <w:rPr>
          <w:rFonts w:ascii="Times New Roman" w:hAnsi="Times New Roman"/>
          <w:b/>
          <w:caps w:val="false"/>
          <w:smallCaps w:val="false"/>
          <w:sz w:val="20"/>
        </w:rPr>
        <w:t xml:space="preserve"> - ACCRUED INTEREST AND OTHER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following table presents the detail of our accrued interest receivable and other assets as of the dates indicated:</w:t>
      </w:r>
    </w:p>
    <w:p>
      <w:pPr>
        <w:pStyle w:val="TextBody"/>
        <w:bidi w:val="0"/>
        <w:spacing w:before="0" w:after="0"/>
        <w:ind w:left="0" w:right="0" w:firstLine="540"/>
        <w:jc w:val="both"/>
        <w:rPr>
          <w:caps w:val="false"/>
          <w:smallCaps w:val="false"/>
        </w:rPr>
      </w:pPr>
      <w:r>
        <w:rPr>
          <w:caps w:val="false"/>
          <w:smallCaps w:val="false"/>
        </w:rPr>
        <w:t> </w:t>
      </w:r>
    </w:p>
    <w:tbl>
      <w:tblPr>
        <w:tblW w:w="6313" w:type="dxa"/>
        <w:jc w:val="left"/>
        <w:tblInd w:w="0" w:type="dxa"/>
        <w:tblLayout w:type="fixed"/>
        <w:tblCellMar>
          <w:top w:w="0" w:type="dxa"/>
          <w:left w:w="0" w:type="dxa"/>
          <w:bottom w:w="0" w:type="dxa"/>
          <w:right w:w="0" w:type="dxa"/>
        </w:tblCellMar>
      </w:tblPr>
      <w:tblGrid>
        <w:gridCol w:w="3275"/>
        <w:gridCol w:w="60"/>
        <w:gridCol w:w="208"/>
        <w:gridCol w:w="981"/>
        <w:gridCol w:w="60"/>
        <w:gridCol w:w="60"/>
        <w:gridCol w:w="280"/>
        <w:gridCol w:w="1329"/>
        <w:gridCol w:w="60"/>
      </w:tblGrid>
      <w:tr>
        <w:trPr/>
        <w:tc>
          <w:tcPr>
            <w:tcW w:w="3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As of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As of December 31,</w:t>
            </w:r>
          </w:p>
        </w:tc>
        <w:tc>
          <w:tcPr>
            <w:tcW w:w="60" w:type="dxa"/>
            <w:tcBorders/>
            <w:shd w:fill="FFFF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18"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(dollars in thousands)</w:t>
            </w:r>
          </w:p>
        </w:tc>
        <w:tc>
          <w:tcPr>
            <w:tcW w:w="60"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CRA and other equity investments</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26,086</w:t>
            </w:r>
          </w:p>
        </w:tc>
        <w:tc>
          <w:tcPr>
            <w:tcW w:w="60"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real estate owned ("OREO")</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8,830</w:t>
            </w:r>
          </w:p>
        </w:tc>
        <w:tc>
          <w:tcPr>
            <w:tcW w:w="60"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interest receivable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16,230</w:t>
            </w:r>
          </w:p>
        </w:tc>
        <w:tc>
          <w:tcPr>
            <w:tcW w:w="60"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LIHTC investments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16,997</w:t>
            </w:r>
          </w:p>
        </w:tc>
        <w:tc>
          <w:tcPr>
            <w:tcW w:w="60"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Servicing assets (1)</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6,041</w:t>
            </w:r>
          </w:p>
        </w:tc>
        <w:tc>
          <w:tcPr>
            <w:tcW w:w="60"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assets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2,915</w:t>
            </w:r>
          </w:p>
        </w:tc>
        <w:tc>
          <w:tcPr>
            <w:tcW w:w="60"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Core deposit intangibles (2)</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1,338</w:t>
            </w:r>
          </w:p>
        </w:tc>
        <w:tc>
          <w:tcPr>
            <w:tcW w:w="60"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4,206</w:t>
            </w:r>
          </w:p>
        </w:tc>
        <w:tc>
          <w:tcPr>
            <w:tcW w:w="60"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accrued interest and other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97,561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82,643</w:t>
            </w:r>
          </w:p>
        </w:tc>
        <w:tc>
          <w:tcPr>
            <w:tcW w:w="60" w:type="dxa"/>
            <w:tcBorders/>
            <w:shd w:fill="CCEEFF" w:val="clear"/>
            <w:vAlign w:val="center"/>
          </w:tcPr>
          <w:p>
            <w:pPr>
              <w:pStyle w:val="TableContents"/>
              <w:bidi w:val="0"/>
              <w:spacing w:before="0" w:after="283"/>
              <w:jc w:val="left"/>
              <w:rPr/>
            </w:pPr>
            <w:r>
              <w:rPr/>
              <w:t> </w:t>
            </w:r>
          </w:p>
        </w:tc>
      </w:tr>
    </w:tbl>
    <w:tbl>
      <w:tblPr>
        <w:tblW w:w="5005" w:type="dxa"/>
        <w:jc w:val="left"/>
        <w:tblInd w:w="0" w:type="dxa"/>
        <w:tblLayout w:type="fixed"/>
        <w:tblCellMar>
          <w:top w:w="0" w:type="dxa"/>
          <w:left w:w="0" w:type="dxa"/>
          <w:bottom w:w="0" w:type="dxa"/>
          <w:right w:w="0" w:type="dxa"/>
        </w:tblCellMar>
      </w:tblPr>
      <w:tblGrid>
        <w:gridCol w:w="60"/>
        <w:gridCol w:w="230"/>
        <w:gridCol w:w="471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pPr>
            <w:r>
              <w:rPr>
                <w:rFonts w:ascii="Times New Roman" w:hAnsi="Times New Roman"/>
                <w:caps w:val="false"/>
                <w:smallCaps w:val="false"/>
                <w:sz w:val="18"/>
              </w:rPr>
              <w:t>(</w:t>
            </w:r>
            <w:r>
              <w:rPr>
                <w:rStyle w:val="Emphasis"/>
                <w:rFonts w:ascii="Times New Roman" w:hAnsi="Times New Roman"/>
                <w:caps w:val="false"/>
                <w:smallCaps w:val="false"/>
                <w:sz w:val="18"/>
              </w:rPr>
              <w:t>1</w:t>
            </w:r>
            <w:r>
              <w:rPr>
                <w:rFonts w:ascii="Times New Roman" w:hAnsi="Times New Roman"/>
                <w:caps w:val="false"/>
                <w:smallCaps w:val="false"/>
                <w:sz w:val="18"/>
              </w:rPr>
              <w:t>)</w:t>
            </w:r>
          </w:p>
        </w:tc>
        <w:tc>
          <w:tcPr>
            <w:tcW w:w="4715" w:type="dxa"/>
            <w:tcBorders/>
            <w:vAlign w:val="center"/>
          </w:tcPr>
          <w:p>
            <w:pPr>
              <w:pStyle w:val="TableContents"/>
              <w:bidi w:val="0"/>
              <w:spacing w:before="0" w:after="0"/>
              <w:ind w:left="0" w:right="0" w:hanging="0"/>
              <w:jc w:val="left"/>
              <w:rPr/>
            </w:pPr>
            <w:r>
              <w:rPr>
                <w:rFonts w:ascii="Times New Roman" w:hAnsi="Times New Roman"/>
                <w:caps w:val="false"/>
                <w:smallCaps w:val="false"/>
                <w:sz w:val="18"/>
              </w:rPr>
              <w:t xml:space="preserve">See Note </w:t>
            </w:r>
            <w:r>
              <w:rPr>
                <w:rStyle w:val="Emphasis"/>
                <w:rFonts w:ascii="Times New Roman" w:hAnsi="Times New Roman"/>
                <w:caps w:val="false"/>
                <w:smallCaps w:val="false"/>
                <w:sz w:val="18"/>
              </w:rPr>
              <w:t>5</w:t>
            </w:r>
            <w:r>
              <w:rPr>
                <w:rFonts w:ascii="Times New Roman" w:hAnsi="Times New Roman"/>
                <w:caps w:val="false"/>
                <w:smallCaps w:val="false"/>
                <w:sz w:val="18"/>
              </w:rPr>
              <w:t> - Loan Servicing for additional information.</w:t>
            </w:r>
          </w:p>
        </w:tc>
      </w:tr>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pPr>
            <w:r>
              <w:rPr>
                <w:rFonts w:ascii="Times New Roman" w:hAnsi="Times New Roman"/>
                <w:caps w:val="false"/>
                <w:smallCaps w:val="false"/>
                <w:sz w:val="18"/>
              </w:rPr>
              <w:t>(</w:t>
            </w:r>
            <w:r>
              <w:rPr>
                <w:rStyle w:val="Emphasis"/>
                <w:rFonts w:ascii="Times New Roman" w:hAnsi="Times New Roman"/>
                <w:caps w:val="false"/>
                <w:smallCaps w:val="false"/>
                <w:sz w:val="18"/>
              </w:rPr>
              <w:t>2</w:t>
            </w:r>
            <w:r>
              <w:rPr>
                <w:rFonts w:ascii="Times New Roman" w:hAnsi="Times New Roman"/>
                <w:caps w:val="false"/>
                <w:smallCaps w:val="false"/>
                <w:sz w:val="18"/>
              </w:rPr>
              <w:t>)</w:t>
            </w:r>
          </w:p>
        </w:tc>
        <w:tc>
          <w:tcPr>
            <w:tcW w:w="4715" w:type="dxa"/>
            <w:tcBorders/>
            <w:vAlign w:val="center"/>
          </w:tcPr>
          <w:p>
            <w:pPr>
              <w:pStyle w:val="TableContents"/>
              <w:bidi w:val="0"/>
              <w:spacing w:before="0" w:after="0"/>
              <w:ind w:left="0" w:right="0" w:hanging="0"/>
              <w:jc w:val="left"/>
              <w:rPr/>
            </w:pPr>
            <w:r>
              <w:rPr>
                <w:rFonts w:ascii="Times New Roman" w:hAnsi="Times New Roman"/>
                <w:caps w:val="false"/>
                <w:smallCaps w:val="false"/>
                <w:sz w:val="18"/>
              </w:rPr>
              <w:t xml:space="preserve">See Note </w:t>
            </w:r>
            <w:r>
              <w:rPr>
                <w:rStyle w:val="Emphasis"/>
                <w:rFonts w:ascii="Times New Roman" w:hAnsi="Times New Roman"/>
                <w:caps w:val="false"/>
                <w:smallCaps w:val="false"/>
                <w:sz w:val="18"/>
              </w:rPr>
              <w:t>6</w:t>
            </w:r>
            <w:r>
              <w:rPr>
                <w:rFonts w:ascii="Times New Roman" w:hAnsi="Times New Roman"/>
                <w:caps w:val="false"/>
                <w:smallCaps w:val="false"/>
                <w:sz w:val="18"/>
              </w:rPr>
              <w:t> - Goodwill And Intangibles for additional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CRA and other equity investments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Company has several Community Reinvestment Act ("CRA") equity investments, other bank stocks, and other equity investments which totaled $34.2 million and $26.1 million as of </w:t>
      </w:r>
      <w:r>
        <w:rPr>
          <w:rStyle w:val="Emphasis"/>
          <w:rFonts w:ascii="Times New Roman" w:hAnsi="Times New Roman"/>
          <w:caps w:val="false"/>
          <w:smallCaps w:val="false"/>
          <w:sz w:val="20"/>
        </w:rPr>
        <w:t>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We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receive recurring interest and dividend income on these investments (included in "Interest and dividend income" in the consolidated statements of income). We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also receive capital gain distributions (included in "Other income" in the consolidated statements of income"). 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significant gains or losses on these investments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i/>
          <w:caps w:val="false"/>
          <w:smallCaps w:val="false"/>
          <w:sz w:val="20"/>
          <w:u w:val="single"/>
        </w:rPr>
      </w:pPr>
      <w:r>
        <w:rPr>
          <w:rFonts w:ascii="Times New Roman" w:hAnsi="Times New Roman"/>
          <w:i/>
          <w:caps w:val="false"/>
          <w:smallCaps w:val="false"/>
          <w:sz w:val="20"/>
          <w:u w:val="single"/>
        </w:rPr>
        <w:t>Other Real Estate Owned ("OREO")</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balance of OREO increased to $19.8 million at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compared to $8.8 million at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One nonperforming construction loan was transferred to OREO in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and has a carrying value of $19.8 million at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 OREO properties at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were sold in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of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and resulted in net gains of $669,000.</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Low-Income Housing Tax Credit investments ("LIHTC")</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Bank invests as a limited partner in LIHTC investments that operate qualified affordable housing projects which generate tax benefits, including federal low-income housing tax credits. These investments are accounted for under the proportional amortization method and totaled $15.8 million and $17.0 million at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Total unfunded commitments related to these investments totaled $7.8 million at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$10.0 million at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and are included in accrued interest and other liabilities on the consolidated balance sheets. We expect to fulfill these commitments between</w:t>
      </w:r>
      <w:r>
        <w:rPr>
          <w:rFonts w:ascii="Times New Roman" w:hAnsi="Times New Roman"/>
          <w:caps w:val="false"/>
          <w:smallCaps w:val="false"/>
          <w:sz w:val="20"/>
          <w:shd w:fill="FFFFFF" w:val="clear"/>
        </w:rPr>
        <w:t xml:space="preserve"> </w:t>
      </w:r>
      <w:r>
        <w:rPr>
          <w:rStyle w:val="Emphasis"/>
          <w:rFonts w:ascii="Times New Roman" w:hAnsi="Times New Roman"/>
          <w:caps w:val="false"/>
          <w:smallCaps w:val="false"/>
          <w:sz w:val="20"/>
          <w:shd w:fill="FFFFFF" w:val="clear"/>
        </w:rPr>
        <w:t>2026</w:t>
      </w:r>
      <w:r>
        <w:rPr>
          <w:rFonts w:ascii="Times New Roman" w:hAnsi="Times New Roman"/>
          <w:caps w:val="false"/>
          <w:smallCaps w:val="false"/>
          <w:sz w:val="20"/>
          <w:shd w:fill="FFFFFF" w:val="clear"/>
        </w:rPr>
        <w:t xml:space="preserve"> and </w:t>
      </w:r>
      <w:r>
        <w:rPr>
          <w:rStyle w:val="Emphasis"/>
          <w:rFonts w:ascii="Times New Roman" w:hAnsi="Times New Roman"/>
          <w:caps w:val="false"/>
          <w:smallCaps w:val="false"/>
          <w:sz w:val="20"/>
          <w:shd w:fill="FFFFFF" w:val="clear"/>
        </w:rPr>
        <w:t>2041.</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We recognized tax credits from LIHTC investments totaling</w:t>
      </w:r>
      <w:r>
        <w:rPr>
          <w:rFonts w:ascii="Times New Roman" w:hAnsi="Times New Roman"/>
          <w:caps w:val="false"/>
          <w:smallCaps w:val="false"/>
          <w:sz w:val="20"/>
          <w:shd w:fill="FFFFFF" w:val="clear"/>
        </w:rPr>
        <w:t xml:space="preserve"> $520,000, </w:t>
      </w:r>
      <w:r>
        <w:rPr>
          <w:rFonts w:ascii="Times New Roman" w:hAnsi="Times New Roman"/>
          <w:caps w:val="false"/>
          <w:smallCaps w:val="false"/>
          <w:sz w:val="20"/>
        </w:rPr>
        <w:t xml:space="preserve">$520,000, and $515,000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March 31,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and $</w:t>
      </w:r>
      <w:r>
        <w:rPr>
          <w:rFonts w:ascii="Times New Roman" w:hAnsi="Times New Roman"/>
          <w:caps w:val="false"/>
          <w:smallCaps w:val="false"/>
          <w:sz w:val="20"/>
          <w:shd w:fill="FFFFFF" w:val="clear"/>
        </w:rPr>
        <w:t>1.0 million </w:t>
      </w:r>
      <w:r>
        <w:rPr>
          <w:rFonts w:ascii="Times New Roman" w:hAnsi="Times New Roman"/>
          <w:caps w:val="false"/>
          <w:smallCaps w:val="false"/>
          <w:sz w:val="20"/>
        </w:rPr>
        <w:t xml:space="preserve">and $912,000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amortization of these investments was included within income tax expense as an offset to such tax credits. We recognized amortization expense of $586,000, $587,000, and $533,000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March 31,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and $1.2 million and $1.0 million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We had no impairment losses during each of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March 31,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June 30, 2025</w:t>
      </w:r>
      <w:r>
        <w:rPr>
          <w:rFonts w:ascii="Times New Roman" w:hAnsi="Times New Roman"/>
          <w:caps w:val="false"/>
          <w:smallCaps w:val="false"/>
          <w:sz w:val="20"/>
        </w:rPr>
        <w:t xml:space="preserve">, 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8</w:t>
      </w:r>
      <w:r>
        <w:rPr>
          <w:rFonts w:ascii="Times New Roman" w:hAnsi="Times New Roman"/>
          <w:b/>
          <w:caps w:val="false"/>
          <w:smallCaps w:val="false"/>
          <w:sz w:val="20"/>
        </w:rPr>
        <w:t xml:space="preserve"> - DEPOSITS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At </w:t>
      </w:r>
      <w:r>
        <w:rPr>
          <w:rStyle w:val="Emphasis"/>
          <w:rFonts w:ascii="Times New Roman" w:hAnsi="Times New Roman"/>
          <w:caps w:val="false"/>
          <w:smallCaps w:val="false"/>
          <w:sz w:val="20"/>
        </w:rPr>
        <w:t>June 30, 2026</w:t>
      </w:r>
      <w:r>
        <w:rPr>
          <w:rFonts w:ascii="Times New Roman" w:hAnsi="Times New Roman"/>
          <w:caps w:val="false"/>
          <w:smallCaps w:val="false"/>
          <w:sz w:val="20"/>
        </w:rPr>
        <w:t>, the scheduled maturities of time deposits are as follows:</w:t>
      </w:r>
    </w:p>
    <w:p>
      <w:pPr>
        <w:pStyle w:val="TextBody"/>
        <w:bidi w:val="0"/>
        <w:spacing w:before="0" w:after="0"/>
        <w:ind w:left="0" w:right="0" w:hanging="0"/>
        <w:jc w:val="left"/>
        <w:rPr>
          <w:caps w:val="false"/>
          <w:smallCaps w:val="false"/>
        </w:rPr>
      </w:pPr>
      <w:r>
        <w:rPr>
          <w:caps w:val="false"/>
          <w:smallCaps w:val="false"/>
        </w:rPr>
        <w:t> </w:t>
      </w:r>
    </w:p>
    <w:tbl>
      <w:tblPr>
        <w:tblW w:w="6755" w:type="dxa"/>
        <w:jc w:val="left"/>
        <w:tblInd w:w="0" w:type="dxa"/>
        <w:tblLayout w:type="fixed"/>
        <w:tblCellMar>
          <w:top w:w="0" w:type="dxa"/>
          <w:left w:w="0" w:type="dxa"/>
          <w:bottom w:w="0" w:type="dxa"/>
          <w:right w:w="0" w:type="dxa"/>
        </w:tblCellMar>
      </w:tblPr>
      <w:tblGrid>
        <w:gridCol w:w="1595"/>
        <w:gridCol w:w="60"/>
        <w:gridCol w:w="125"/>
        <w:gridCol w:w="1685"/>
        <w:gridCol w:w="60"/>
        <w:gridCol w:w="60"/>
        <w:gridCol w:w="125"/>
        <w:gridCol w:w="1895"/>
        <w:gridCol w:w="60"/>
        <w:gridCol w:w="60"/>
        <w:gridCol w:w="125"/>
        <w:gridCol w:w="845"/>
        <w:gridCol w:w="60"/>
      </w:tblGrid>
      <w:tr>
        <w:trPr/>
        <w:tc>
          <w:tcPr>
            <w:tcW w:w="15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685" w:type="dxa"/>
            <w:tcBorders>
              <w:bottom w:val="single" w:sz="2" w:space="0" w:color="000000"/>
            </w:tcBorders>
            <w:shd w:fill="FFFFFF" w:val="clear"/>
            <w:tcMar>
              <w:bottom w:w="28" w:type="dxa"/>
            </w:tcMar>
            <w:vAlign w:val="center"/>
          </w:tcPr>
          <w:p>
            <w:pPr>
              <w:pStyle w:val="TableContents"/>
              <w:bidi w:val="0"/>
              <w:spacing w:before="0" w:after="0"/>
              <w:jc w:val="center"/>
              <w:rPr/>
            </w:pPr>
            <w:r>
              <w:rPr>
                <w:rStyle w:val="Emphasis"/>
                <w:rFonts w:ascii="Times New Roman" w:hAnsi="Times New Roman"/>
                <w:b/>
                <w:sz w:val="20"/>
              </w:rPr>
              <w:t>$250,000 and under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895" w:type="dxa"/>
            <w:tcBorders>
              <w:bottom w:val="single" w:sz="2" w:space="0" w:color="000000"/>
            </w:tcBorders>
            <w:shd w:fill="FFFFFF" w:val="clear"/>
            <w:tcMar>
              <w:bottom w:w="28" w:type="dxa"/>
            </w:tcMar>
            <w:vAlign w:val="center"/>
          </w:tcPr>
          <w:p>
            <w:pPr>
              <w:pStyle w:val="TableContents"/>
              <w:bidi w:val="0"/>
              <w:spacing w:before="0" w:after="0"/>
              <w:jc w:val="center"/>
              <w:rPr/>
            </w:pPr>
            <w:r>
              <w:rPr>
                <w:rStyle w:val="Emphasis"/>
                <w:rFonts w:ascii="Times New Roman" w:hAnsi="Times New Roman"/>
                <w:b/>
                <w:sz w:val="20"/>
              </w:rPr>
              <w:t>Greater than $250,000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Total</w:t>
            </w:r>
          </w:p>
        </w:tc>
        <w:tc>
          <w:tcPr>
            <w:tcW w:w="60" w:type="dxa"/>
            <w:tcBorders/>
            <w:shd w:fill="FFFFFF" w:val="clear"/>
            <w:vAlign w:val="center"/>
          </w:tcPr>
          <w:p>
            <w:pPr>
              <w:pStyle w:val="TableContents"/>
              <w:bidi w:val="0"/>
              <w:spacing w:before="0" w:after="0"/>
              <w:ind w:left="0" w:right="0" w:hanging="0"/>
              <w:jc w:val="center"/>
              <w:rPr/>
            </w:pPr>
            <w:r>
              <w:rPr/>
              <w:t> </w:t>
            </w:r>
          </w:p>
        </w:tc>
      </w:tr>
      <w:tr>
        <w:trPr/>
        <w:tc>
          <w:tcPr>
            <w:tcW w:w="1595" w:type="dxa"/>
            <w:tcBorders>
              <w:bottom w:val="single" w:sz="2" w:space="0" w:color="000000"/>
            </w:tcBorders>
            <w:shd w:fill="FFFFFF" w:val="clear"/>
            <w:tcMar>
              <w:bottom w:w="28" w:type="dxa"/>
            </w:tcMar>
            <w:vAlign w:val="center"/>
          </w:tcPr>
          <w:p>
            <w:pPr>
              <w:pStyle w:val="TableContents"/>
              <w:bidi w:val="0"/>
              <w:spacing w:before="0" w:after="0"/>
              <w:ind w:left="360" w:right="0" w:hanging="360"/>
              <w:jc w:val="left"/>
              <w:rPr>
                <w:rFonts w:ascii="Times New Roman" w:hAnsi="Times New Roman"/>
                <w:b/>
                <w:caps w:val="false"/>
                <w:smallCaps w:val="false"/>
                <w:sz w:val="20"/>
              </w:rPr>
            </w:pPr>
            <w:r>
              <w:rPr>
                <w:rFonts w:ascii="Times New Roman" w:hAnsi="Times New Roman"/>
                <w:b/>
                <w:caps w:val="false"/>
                <w:smallCaps w:val="false"/>
                <w:sz w:val="20"/>
              </w:rPr>
              <w:t>At June 30, 2026</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4915" w:type="dxa"/>
            <w:gridSpan w:val="9"/>
            <w:tcBorders/>
            <w:shd w:fill="FFFFFF" w:val="clear"/>
            <w:vAlign w:val="center"/>
          </w:tcPr>
          <w:p>
            <w:pPr>
              <w:pStyle w:val="TableContents"/>
              <w:bidi w:val="0"/>
              <w:spacing w:before="0" w:after="0"/>
              <w:jc w:val="center"/>
              <w:rPr/>
            </w:pPr>
            <w:r>
              <w:rPr>
                <w:rStyle w:val="Emphasis"/>
                <w:rFonts w:ascii="Times New Roman" w:hAnsi="Times New Roman"/>
                <w:b/>
                <w:i/>
                <w:sz w:val="20"/>
              </w:rPr>
              <w:t>(dollars in thousands)</w:t>
            </w:r>
          </w:p>
        </w:tc>
        <w:tc>
          <w:tcPr>
            <w:tcW w:w="60" w:type="dxa"/>
            <w:tcBorders/>
            <w:shd w:fill="FFFFFF" w:val="clear"/>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Remainder of 2026</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68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626,659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8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659,713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1,286,372</w:t>
            </w:r>
          </w:p>
        </w:tc>
        <w:tc>
          <w:tcPr>
            <w:tcW w:w="60" w:type="dxa"/>
            <w:tcBorders/>
            <w:shd w:fill="CCEEFF" w:val="clear"/>
            <w:vAlign w:val="center"/>
          </w:tcPr>
          <w:p>
            <w:pPr>
              <w:pStyle w:val="TableContents"/>
              <w:bidi w:val="0"/>
              <w:spacing w:before="0" w:after="283"/>
              <w:jc w:val="left"/>
              <w:rPr/>
            </w:pPr>
            <w:r>
              <w:rPr/>
              <w:t> </w:t>
            </w:r>
          </w:p>
        </w:tc>
      </w:tr>
      <w:tr>
        <w:trPr/>
        <w:tc>
          <w:tcPr>
            <w:tcW w:w="159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68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185,698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8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131,756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317,454</w:t>
            </w:r>
          </w:p>
        </w:tc>
        <w:tc>
          <w:tcPr>
            <w:tcW w:w="60" w:type="dxa"/>
            <w:tcBorders/>
            <w:shd w:fill="FFFFFF" w:val="clear"/>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2028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68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2,340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8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3,230</w:t>
            </w:r>
          </w:p>
        </w:tc>
        <w:tc>
          <w:tcPr>
            <w:tcW w:w="60" w:type="dxa"/>
            <w:tcBorders/>
            <w:shd w:fill="CCEEFF" w:val="clear"/>
            <w:vAlign w:val="center"/>
          </w:tcPr>
          <w:p>
            <w:pPr>
              <w:pStyle w:val="TableContents"/>
              <w:bidi w:val="0"/>
              <w:spacing w:before="0" w:after="283"/>
              <w:jc w:val="left"/>
              <w:rPr/>
            </w:pPr>
            <w:r>
              <w:rPr/>
              <w:t> </w:t>
            </w:r>
          </w:p>
        </w:tc>
      </w:tr>
      <w:tr>
        <w:trPr/>
        <w:tc>
          <w:tcPr>
            <w:tcW w:w="159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2029</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68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8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449</w:t>
            </w:r>
          </w:p>
        </w:tc>
        <w:tc>
          <w:tcPr>
            <w:tcW w:w="60" w:type="dxa"/>
            <w:tcBorders/>
            <w:shd w:fill="FFFFFF" w:val="clear"/>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2030 and thereafter</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685"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895"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382</w:t>
            </w:r>
          </w:p>
        </w:tc>
        <w:tc>
          <w:tcPr>
            <w:tcW w:w="60" w:type="dxa"/>
            <w:tcBorders/>
            <w:shd w:fill="CCEEFF" w:val="clear"/>
            <w:vAlign w:val="center"/>
          </w:tcPr>
          <w:p>
            <w:pPr>
              <w:pStyle w:val="TableContents"/>
              <w:bidi w:val="0"/>
              <w:spacing w:before="0" w:after="283"/>
              <w:jc w:val="left"/>
              <w:rPr/>
            </w:pPr>
            <w:r>
              <w:rPr/>
              <w:t> </w:t>
            </w:r>
          </w:p>
        </w:tc>
      </w:tr>
      <w:tr>
        <w:trPr/>
        <w:tc>
          <w:tcPr>
            <w:tcW w:w="159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6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815,528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8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792,359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1,607,887</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Time deposits include deposits acquired through both retail and wholesale channels. Wholesale channels include brokered deposits, collateralized deposits from the State of California, and deposits acquired through internet listing services. Wholesale time deposits totaled $120.2 million at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$225.7 million at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Brokered time deposits were </w:t>
      </w:r>
      <w:r>
        <w:rPr>
          <w:rFonts w:ascii="Times New Roman" w:hAnsi="Times New Roman"/>
          <w:caps w:val="false"/>
          <w:smallCaps w:val="false"/>
          <w:sz w:val="20"/>
          <w:shd w:fill="FFFFFF" w:val="clear"/>
        </w:rPr>
        <w:t>$50.5 million a</w:t>
      </w:r>
      <w:r>
        <w:rPr>
          <w:rFonts w:ascii="Times New Roman" w:hAnsi="Times New Roman"/>
          <w:caps w:val="false"/>
          <w:smallCaps w:val="false"/>
          <w:sz w:val="20"/>
        </w:rPr>
        <w:t xml:space="preserve">t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$145.5 million at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Collateralized deposits from the State of California totale</w:t>
      </w:r>
      <w:r>
        <w:rPr>
          <w:rFonts w:ascii="Times New Roman" w:hAnsi="Times New Roman"/>
          <w:caps w:val="false"/>
          <w:smallCaps w:val="false"/>
          <w:sz w:val="20"/>
          <w:shd w:fill="FFFFFF" w:val="clear"/>
        </w:rPr>
        <w:t>d $40.0 million</w:t>
      </w:r>
      <w:r>
        <w:rPr>
          <w:rFonts w:ascii="Times New Roman" w:hAnsi="Times New Roman"/>
          <w:caps w:val="false"/>
          <w:smallCaps w:val="false"/>
          <w:sz w:val="20"/>
        </w:rPr>
        <w:t xml:space="preserve"> at both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and at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Time deposits acquired through internet listing services totale</w:t>
      </w:r>
      <w:r>
        <w:rPr>
          <w:rFonts w:ascii="Times New Roman" w:hAnsi="Times New Roman"/>
          <w:caps w:val="false"/>
          <w:smallCaps w:val="false"/>
          <w:sz w:val="20"/>
          <w:shd w:fill="FFFFFF" w:val="clear"/>
        </w:rPr>
        <w:t xml:space="preserve">d $29.7 million </w:t>
      </w:r>
      <w:r>
        <w:rPr>
          <w:rFonts w:ascii="Times New Roman" w:hAnsi="Times New Roman"/>
          <w:caps w:val="false"/>
          <w:smallCaps w:val="false"/>
          <w:sz w:val="20"/>
        </w:rPr>
        <w:t xml:space="preserve">at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$40.2 million at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In addition, we offer retail deposit products where customers are able to achieve FDIC insurance for balances on deposit in excess of the </w:t>
      </w:r>
      <w:r>
        <w:rPr>
          <w:rStyle w:val="Emphasis"/>
          <w:rFonts w:ascii="Times New Roman" w:hAnsi="Times New Roman"/>
          <w:caps w:val="false"/>
          <w:smallCaps w:val="false"/>
          <w:sz w:val="20"/>
        </w:rPr>
        <w:t>$250,000</w:t>
      </w:r>
      <w:r>
        <w:rPr>
          <w:rFonts w:ascii="Times New Roman" w:hAnsi="Times New Roman"/>
          <w:caps w:val="false"/>
          <w:smallCaps w:val="false"/>
          <w:sz w:val="20"/>
        </w:rPr>
        <w:t xml:space="preserve"> FDIC insurance limit through the Certificate of Deposit Account Registry Service (“CDARS”) and Insured Cash Sweeps (“ICS”) programs. Time deposits held through the CDARS program we</w:t>
      </w:r>
      <w:r>
        <w:rPr>
          <w:rFonts w:ascii="Times New Roman" w:hAnsi="Times New Roman"/>
          <w:caps w:val="false"/>
          <w:smallCaps w:val="false"/>
          <w:sz w:val="20"/>
          <w:shd w:fill="FFFFFF" w:val="clear"/>
        </w:rPr>
        <w:t>re $141.4 million a</w:t>
      </w:r>
      <w:r>
        <w:rPr>
          <w:rFonts w:ascii="Times New Roman" w:hAnsi="Times New Roman"/>
          <w:caps w:val="false"/>
          <w:smallCaps w:val="false"/>
          <w:sz w:val="20"/>
        </w:rPr>
        <w:t xml:space="preserve">t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$128.3 million at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ICS deposits totaled</w:t>
      </w:r>
      <w:r>
        <w:rPr>
          <w:rFonts w:ascii="Times New Roman" w:hAnsi="Times New Roman"/>
          <w:caps w:val="false"/>
          <w:smallCaps w:val="false"/>
          <w:sz w:val="20"/>
          <w:shd w:fill="FFFFFF" w:val="clear"/>
        </w:rPr>
        <w:t xml:space="preserve"> $137.4 million</w:t>
      </w:r>
      <w:r>
        <w:rPr>
          <w:rFonts w:ascii="Times New Roman" w:hAnsi="Times New Roman"/>
          <w:caps w:val="false"/>
          <w:smallCaps w:val="false"/>
          <w:sz w:val="20"/>
        </w:rPr>
        <w:t xml:space="preserve"> at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$156.3 million at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9</w:t>
      </w:r>
      <w:r>
        <w:rPr>
          <w:rFonts w:ascii="Times New Roman" w:hAnsi="Times New Roman"/>
          <w:b/>
          <w:caps w:val="false"/>
          <w:smallCaps w:val="false"/>
          <w:sz w:val="20"/>
        </w:rPr>
        <w:t xml:space="preserve"> - LONG-TERM DEBT</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At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 Company's long-term debt consisted of $120.0 million of fixed-to-floating rate subordinated notes, with an </w:t>
      </w:r>
      <w:r>
        <w:rPr>
          <w:rStyle w:val="Emphasis"/>
          <w:rFonts w:ascii="Times New Roman" w:hAnsi="Times New Roman"/>
          <w:caps w:val="false"/>
          <w:smallCaps w:val="false"/>
          <w:sz w:val="20"/>
        </w:rPr>
        <w:t xml:space="preserve">April 1, 2031 </w:t>
      </w:r>
      <w:r>
        <w:rPr>
          <w:rFonts w:ascii="Times New Roman" w:hAnsi="Times New Roman"/>
          <w:caps w:val="false"/>
          <w:smallCaps w:val="false"/>
          <w:sz w:val="20"/>
        </w:rPr>
        <w:t xml:space="preserve">maturity date (the "Notes"). The interest rate was fixed at 4.00% through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and now resets quarterly to a rate of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-month Secured Overnight Financing Rate ("SOFR") plus 329 basis points starting </w:t>
      </w:r>
      <w:r>
        <w:rPr>
          <w:rStyle w:val="Emphasis"/>
          <w:rFonts w:ascii="Times New Roman" w:hAnsi="Times New Roman"/>
          <w:caps w:val="false"/>
          <w:smallCaps w:val="false"/>
          <w:sz w:val="20"/>
        </w:rPr>
        <w:t xml:space="preserve">April 1, 2026. </w:t>
      </w:r>
      <w:r>
        <w:rPr>
          <w:rFonts w:ascii="Times New Roman" w:hAnsi="Times New Roman"/>
          <w:caps w:val="false"/>
          <w:smallCaps w:val="false"/>
          <w:sz w:val="20"/>
        </w:rPr>
        <w:t xml:space="preserve">The rate was set at 6.98% as of </w:t>
      </w:r>
      <w:r>
        <w:rPr>
          <w:rStyle w:val="Emphasis"/>
          <w:rFonts w:ascii="Times New Roman" w:hAnsi="Times New Roman"/>
          <w:caps w:val="false"/>
          <w:smallCaps w:val="false"/>
          <w:sz w:val="20"/>
        </w:rPr>
        <w:t xml:space="preserve">April 1, 2026 </w:t>
      </w:r>
      <w:r>
        <w:rPr>
          <w:rFonts w:ascii="Times New Roman" w:hAnsi="Times New Roman"/>
          <w:caps w:val="false"/>
          <w:smallCaps w:val="false"/>
          <w:sz w:val="20"/>
        </w:rPr>
        <w:t>and increased to 7.02% as of </w:t>
      </w:r>
      <w:r>
        <w:rPr>
          <w:rStyle w:val="Emphasis"/>
          <w:rFonts w:ascii="Times New Roman" w:hAnsi="Times New Roman"/>
          <w:caps w:val="false"/>
          <w:smallCaps w:val="false"/>
          <w:sz w:val="20"/>
        </w:rPr>
        <w:t xml:space="preserve"> July 1, 2026. </w:t>
      </w:r>
      <w:r>
        <w:rPr>
          <w:rFonts w:ascii="Times New Roman" w:hAnsi="Times New Roman"/>
          <w:caps w:val="false"/>
          <w:smallCaps w:val="false"/>
          <w:sz w:val="20"/>
        </w:rPr>
        <w:t xml:space="preserve">The Notes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included in Tier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capital with certain limitations applicable under current regulatory guidelines, and such amount is discounted as the Notes approach maturity. Therefore, $96.0 million of the Notes were considered Tier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capital at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compared to $120.0 million at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The Notes became redeemable at par beginning </w:t>
      </w:r>
      <w:r>
        <w:rPr>
          <w:rStyle w:val="Emphasis"/>
          <w:rFonts w:ascii="Times New Roman" w:hAnsi="Times New Roman"/>
          <w:caps w:val="false"/>
          <w:smallCaps w:val="false"/>
          <w:sz w:val="20"/>
        </w:rPr>
        <w:t xml:space="preserve">April 1, 2026, </w:t>
      </w:r>
      <w:r>
        <w:rPr>
          <w:rFonts w:ascii="Times New Roman" w:hAnsi="Times New Roman"/>
          <w:caps w:val="false"/>
          <w:smallCaps w:val="false"/>
          <w:sz w:val="20"/>
        </w:rPr>
        <w:t xml:space="preserve">and on </w:t>
      </w:r>
      <w:r>
        <w:rPr>
          <w:rStyle w:val="Emphasis"/>
          <w:rFonts w:ascii="Times New Roman" w:hAnsi="Times New Roman"/>
          <w:caps w:val="false"/>
          <w:smallCaps w:val="false"/>
          <w:sz w:val="20"/>
        </w:rPr>
        <w:t xml:space="preserve">July 1, 2026, </w:t>
      </w:r>
      <w:r>
        <w:rPr>
          <w:rFonts w:ascii="Times New Roman" w:hAnsi="Times New Roman"/>
          <w:caps w:val="false"/>
          <w:smallCaps w:val="false"/>
          <w:sz w:val="20"/>
        </w:rPr>
        <w:t>the Company redeemed $40.0 million at par plus accrued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pPr>
      <w:r>
        <w:rPr/>
        <w:t xml:space="preserve">          </w:t>
      </w:r>
      <w:r>
        <w:rPr>
          <w:rFonts w:ascii="Times New Roman" w:hAnsi="Times New Roman"/>
          <w:sz w:val="20"/>
        </w:rPr>
        <w:t xml:space="preserve">We recognized interest expense on the Notes of </w:t>
      </w:r>
      <w:r>
        <w:rPr>
          <w:rFonts w:ascii="Times New Roman" w:hAnsi="Times New Roman"/>
          <w:sz w:val="20"/>
          <w:shd w:fill="FFFFFF" w:val="clear"/>
        </w:rPr>
        <w:t>$2.1 million</w:t>
      </w:r>
      <w:r>
        <w:rPr>
          <w:rFonts w:ascii="Times New Roman" w:hAnsi="Times New Roman"/>
          <w:sz w:val="20"/>
        </w:rPr>
        <w:t xml:space="preserve">, $1.2 million, and $1.2 million for the </w:t>
      </w:r>
      <w:r>
        <w:rPr>
          <w:rStyle w:val="Emphasis"/>
          <w:rFonts w:ascii="Times New Roman" w:hAnsi="Times New Roman"/>
          <w:sz w:val="20"/>
        </w:rPr>
        <w:t>three</w:t>
      </w:r>
      <w:r>
        <w:rPr>
          <w:rFonts w:ascii="Times New Roman" w:hAnsi="Times New Roman"/>
          <w:sz w:val="20"/>
        </w:rPr>
        <w:t xml:space="preserve"> months ended </w:t>
      </w:r>
      <w:r>
        <w:rPr>
          <w:rStyle w:val="Emphasis"/>
          <w:rFonts w:ascii="Times New Roman" w:hAnsi="Times New Roman"/>
          <w:sz w:val="20"/>
        </w:rPr>
        <w:t xml:space="preserve">June 30, 2026, March 31, 2026, </w:t>
      </w:r>
      <w:r>
        <w:rPr>
          <w:rFonts w:ascii="Times New Roman" w:hAnsi="Times New Roman"/>
          <w:sz w:val="20"/>
        </w:rPr>
        <w:t xml:space="preserve">and </w:t>
      </w:r>
      <w:r>
        <w:rPr>
          <w:rStyle w:val="Emphasis"/>
          <w:rFonts w:ascii="Times New Roman" w:hAnsi="Times New Roman"/>
          <w:sz w:val="20"/>
        </w:rPr>
        <w:t>June 30, 2025</w:t>
      </w:r>
      <w:r>
        <w:rPr>
          <w:rFonts w:ascii="Times New Roman" w:hAnsi="Times New Roman"/>
          <w:sz w:val="20"/>
        </w:rPr>
        <w:t xml:space="preserve">, and </w:t>
      </w:r>
      <w:r>
        <w:rPr>
          <w:rFonts w:ascii="Times New Roman" w:hAnsi="Times New Roman"/>
          <w:sz w:val="20"/>
          <w:shd w:fill="FFFFFF" w:val="clear"/>
        </w:rPr>
        <w:t>$3.3 million a</w:t>
      </w:r>
      <w:r>
        <w:rPr>
          <w:rFonts w:ascii="Times New Roman" w:hAnsi="Times New Roman"/>
          <w:sz w:val="20"/>
        </w:rPr>
        <w:t xml:space="preserve">nd $2.4 million for the </w:t>
      </w:r>
      <w:r>
        <w:rPr>
          <w:rStyle w:val="Emphasis"/>
          <w:rFonts w:ascii="Times New Roman" w:hAnsi="Times New Roman"/>
          <w:sz w:val="20"/>
        </w:rPr>
        <w:t>six</w:t>
      </w:r>
      <w:r>
        <w:rPr>
          <w:rFonts w:ascii="Times New Roman" w:hAnsi="Times New Roman"/>
          <w:sz w:val="20"/>
        </w:rPr>
        <w:t xml:space="preserve"> months ended </w:t>
      </w:r>
      <w:r>
        <w:rPr>
          <w:rStyle w:val="Emphasis"/>
          <w:rFonts w:ascii="Times New Roman" w:hAnsi="Times New Roman"/>
          <w:sz w:val="20"/>
        </w:rPr>
        <w:t xml:space="preserve">June 30, 2026 </w:t>
      </w:r>
      <w:r>
        <w:rPr>
          <w:rFonts w:ascii="Times New Roman" w:hAnsi="Times New Roman"/>
          <w:sz w:val="20"/>
        </w:rPr>
        <w:t xml:space="preserve">and </w:t>
      </w:r>
      <w:r>
        <w:rPr>
          <w:rStyle w:val="Emphasis"/>
          <w:rFonts w:ascii="Times New Roman" w:hAnsi="Times New Roman"/>
          <w:sz w:val="20"/>
        </w:rPr>
        <w:t>2025</w:t>
      </w:r>
      <w:r>
        <w:rPr>
          <w:rFonts w:ascii="Times New Roman" w:hAnsi="Times New Roman"/>
          <w:sz w:val="20"/>
        </w:rPr>
        <w:t xml:space="preserve">. We also recorded debt issuance cost amortization expense of $0, $89,000 and $96,000 for the </w:t>
      </w:r>
      <w:r>
        <w:rPr>
          <w:rStyle w:val="Emphasis"/>
          <w:rFonts w:ascii="Times New Roman" w:hAnsi="Times New Roman"/>
          <w:sz w:val="20"/>
        </w:rPr>
        <w:t>three</w:t>
      </w:r>
      <w:r>
        <w:rPr>
          <w:rFonts w:ascii="Times New Roman" w:hAnsi="Times New Roman"/>
          <w:sz w:val="20"/>
        </w:rPr>
        <w:t xml:space="preserve"> months ended </w:t>
      </w:r>
      <w:r>
        <w:rPr>
          <w:rStyle w:val="Emphasis"/>
          <w:rFonts w:ascii="Times New Roman" w:hAnsi="Times New Roman"/>
          <w:sz w:val="20"/>
        </w:rPr>
        <w:t>June </w:t>
      </w:r>
      <w:r>
        <w:rPr>
          <w:rFonts w:ascii="Times New Roman" w:hAnsi="Times New Roman"/>
          <w:sz w:val="20"/>
        </w:rPr>
        <w:t xml:space="preserve"> </w:t>
      </w:r>
      <w:r>
        <w:rPr>
          <w:rStyle w:val="Emphasis"/>
          <w:rFonts w:ascii="Times New Roman" w:hAnsi="Times New Roman"/>
          <w:sz w:val="20"/>
        </w:rPr>
        <w:t>30,</w:t>
      </w:r>
      <w:r>
        <w:rPr>
          <w:rFonts w:ascii="Times New Roman" w:hAnsi="Times New Roman"/>
          <w:sz w:val="20"/>
        </w:rPr>
        <w:t xml:space="preserve"> </w:t>
      </w:r>
      <w:r>
        <w:rPr>
          <w:rStyle w:val="Emphasis"/>
          <w:rFonts w:ascii="Times New Roman" w:hAnsi="Times New Roman"/>
          <w:sz w:val="20"/>
        </w:rPr>
        <w:t>2026,</w:t>
      </w:r>
      <w:r>
        <w:rPr>
          <w:rFonts w:ascii="Times New Roman" w:hAnsi="Times New Roman"/>
          <w:sz w:val="20"/>
        </w:rPr>
        <w:t xml:space="preserve"> </w:t>
      </w:r>
      <w:r>
        <w:rPr>
          <w:rStyle w:val="Emphasis"/>
          <w:rFonts w:ascii="Times New Roman" w:hAnsi="Times New Roman"/>
          <w:sz w:val="20"/>
        </w:rPr>
        <w:t>March </w:t>
      </w:r>
      <w:r>
        <w:rPr>
          <w:rFonts w:ascii="Times New Roman" w:hAnsi="Times New Roman"/>
          <w:sz w:val="20"/>
        </w:rPr>
        <w:t xml:space="preserve"> </w:t>
      </w:r>
      <w:r>
        <w:rPr>
          <w:rStyle w:val="Emphasis"/>
          <w:rFonts w:ascii="Times New Roman" w:hAnsi="Times New Roman"/>
          <w:sz w:val="20"/>
        </w:rPr>
        <w:t>31,</w:t>
      </w:r>
      <w:r>
        <w:rPr>
          <w:rFonts w:ascii="Times New Roman" w:hAnsi="Times New Roman"/>
          <w:sz w:val="20"/>
        </w:rPr>
        <w:t xml:space="preserve"> </w:t>
      </w:r>
      <w:r>
        <w:rPr>
          <w:rStyle w:val="Emphasis"/>
          <w:rFonts w:ascii="Times New Roman" w:hAnsi="Times New Roman"/>
          <w:sz w:val="20"/>
        </w:rPr>
        <w:t>2026,</w:t>
      </w:r>
      <w:r>
        <w:rPr>
          <w:rFonts w:ascii="Times New Roman" w:hAnsi="Times New Roman"/>
          <w:sz w:val="20"/>
        </w:rPr>
        <w:t xml:space="preserve"> and </w:t>
      </w:r>
      <w:r>
        <w:rPr>
          <w:rStyle w:val="Emphasis"/>
          <w:rFonts w:ascii="Times New Roman" w:hAnsi="Times New Roman"/>
          <w:sz w:val="20"/>
        </w:rPr>
        <w:t>June </w:t>
      </w:r>
      <w:r>
        <w:rPr>
          <w:rFonts w:ascii="Times New Roman" w:hAnsi="Times New Roman"/>
          <w:sz w:val="20"/>
        </w:rPr>
        <w:t xml:space="preserve"> </w:t>
      </w:r>
      <w:r>
        <w:rPr>
          <w:rStyle w:val="Emphasis"/>
          <w:rFonts w:ascii="Times New Roman" w:hAnsi="Times New Roman"/>
          <w:sz w:val="20"/>
        </w:rPr>
        <w:t>30,</w:t>
      </w:r>
      <w:r>
        <w:rPr>
          <w:rFonts w:ascii="Times New Roman" w:hAnsi="Times New Roman"/>
          <w:sz w:val="20"/>
        </w:rPr>
        <w:t xml:space="preserve"> </w:t>
      </w:r>
      <w:r>
        <w:rPr>
          <w:rStyle w:val="Emphasis"/>
          <w:rFonts w:ascii="Times New Roman" w:hAnsi="Times New Roman"/>
          <w:sz w:val="20"/>
        </w:rPr>
        <w:t>2025,</w:t>
      </w:r>
      <w:r>
        <w:rPr>
          <w:rFonts w:ascii="Times New Roman" w:hAnsi="Times New Roman"/>
          <w:sz w:val="20"/>
        </w:rPr>
        <w:t xml:space="preserve"> and  $89,000 and $191,000 for the </w:t>
      </w:r>
      <w:r>
        <w:rPr>
          <w:rStyle w:val="Emphasis"/>
          <w:rFonts w:ascii="Times New Roman" w:hAnsi="Times New Roman"/>
          <w:sz w:val="20"/>
        </w:rPr>
        <w:t>six</w:t>
      </w:r>
      <w:r>
        <w:rPr>
          <w:rFonts w:ascii="Times New Roman" w:hAnsi="Times New Roman"/>
          <w:sz w:val="20"/>
        </w:rPr>
        <w:t xml:space="preserve"> months ended </w:t>
      </w:r>
      <w:r>
        <w:rPr>
          <w:rStyle w:val="Emphasis"/>
          <w:rFonts w:ascii="Times New Roman" w:hAnsi="Times New Roman"/>
          <w:sz w:val="20"/>
        </w:rPr>
        <w:t xml:space="preserve">June 30, 2026 </w:t>
      </w:r>
      <w:r>
        <w:rPr>
          <w:rFonts w:ascii="Times New Roman" w:hAnsi="Times New Roman"/>
          <w:sz w:val="20"/>
        </w:rPr>
        <w:t xml:space="preserve">and </w:t>
      </w:r>
      <w:r>
        <w:rPr>
          <w:rStyle w:val="Emphasis"/>
          <w:rFonts w:ascii="Times New Roman" w:hAnsi="Times New Roman"/>
          <w:sz w:val="20"/>
        </w:rPr>
        <w:t>2025.</w:t>
      </w:r>
      <w:r>
        <w:rPr>
          <w:rFonts w:ascii="Times New Roman" w:hAnsi="Times New Roman"/>
          <w:sz w:val="20"/>
        </w:rPr>
        <w:t xml:space="preserve"> We were in compliance with all covenants for the Notes as of </w:t>
      </w:r>
      <w:r>
        <w:rPr>
          <w:rStyle w:val="Emphasis"/>
          <w:rFonts w:ascii="Times New Roman" w:hAnsi="Times New Roman"/>
          <w:sz w:val="20"/>
        </w:rPr>
        <w:t>June </w:t>
      </w:r>
      <w:r>
        <w:rPr>
          <w:rFonts w:ascii="Times New Roman" w:hAnsi="Times New Roman"/>
          <w:sz w:val="20"/>
        </w:rPr>
        <w:t xml:space="preserve"> </w:t>
      </w:r>
      <w:r>
        <w:rPr>
          <w:rStyle w:val="Emphasis"/>
          <w:rFonts w:ascii="Times New Roman" w:hAnsi="Times New Roman"/>
          <w:sz w:val="20"/>
        </w:rPr>
        <w:t>30,</w:t>
      </w:r>
      <w:r>
        <w:rPr>
          <w:rFonts w:ascii="Times New Roman" w:hAnsi="Times New Roman"/>
          <w:sz w:val="20"/>
        </w:rPr>
        <w:t xml:space="preserve"> </w:t>
      </w:r>
      <w:r>
        <w:rPr>
          <w:rStyle w:val="Emphasis"/>
          <w:rFonts w:ascii="Times New Roman" w:hAnsi="Times New Roman"/>
          <w:sz w:val="20"/>
        </w:rPr>
        <w:t>2026.</w:t>
      </w:r>
      <w:r>
        <w:rPr>
          <w:rFonts w:ascii="Times New Roman" w:hAnsi="Times New Roman"/>
          <w:sz w:val="20"/>
        </w:rPr>
        <w:t xml:space="preserve"> </w:t>
      </w:r>
    </w:p>
    <w:p>
      <w:pPr>
        <w:pStyle w:val="TextBody"/>
        <w:bidi w:val="0"/>
        <w:spacing w:before="0" w:after="0"/>
        <w:ind w:left="0" w:right="0" w:firstLine="540"/>
        <w:jc w:val="both"/>
        <w:rPr/>
      </w:pPr>
      <w:r>
        <w:rPr/>
        <w:t xml:space="preserve">  </w:t>
      </w:r>
    </w:p>
    <w:p>
      <w:pPr>
        <w:pStyle w:val="TextBody"/>
        <w:bidi w:val="0"/>
        <w:ind w:left="0" w:right="0" w:firstLine="540"/>
        <w:jc w:val="both"/>
        <w:rPr/>
      </w:pPr>
      <w:r>
        <w:rPr/>
        <w:t xml:space="preserve">  </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20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10</w:t>
      </w:r>
      <w:r>
        <w:rPr>
          <w:rFonts w:ascii="Times New Roman" w:hAnsi="Times New Roman"/>
          <w:b/>
          <w:caps w:val="false"/>
          <w:smallCaps w:val="false"/>
          <w:sz w:val="20"/>
        </w:rPr>
        <w:t xml:space="preserve"> - SUBORDINATED DEBENTURES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Subordinated debentures were issued in connection with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separate trust preferred securities and totaled </w:t>
      </w:r>
      <w:r>
        <w:rPr>
          <w:rFonts w:ascii="Times New Roman" w:hAnsi="Times New Roman"/>
          <w:caps w:val="false"/>
          <w:smallCaps w:val="false"/>
          <w:sz w:val="20"/>
          <w:shd w:fill="FFFFFF" w:val="clear"/>
        </w:rPr>
        <w:t>$15.5 million a</w:t>
      </w:r>
      <w:r>
        <w:rPr>
          <w:rFonts w:ascii="Times New Roman" w:hAnsi="Times New Roman"/>
          <w:caps w:val="false"/>
          <w:smallCaps w:val="false"/>
          <w:sz w:val="20"/>
        </w:rPr>
        <w:t xml:space="preserve">nd $15.4 million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Under the terms of our subordinated debentures issued in connection with the issuance of trust preferred securities, we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permitted to declare or pay any dividends on our capital stock if an event of default occurs under the terms of the long-term debt. In addition, we have the option to defer interest payments on the subordinated debentures from time to time for a period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exceed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consecutive years. The subordinated debentures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included in Tier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capital (with certain limitations applicable) under current regulatory guidelines and interpretations. We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 xml:space="preserve">redeem the subordinated debentures, subject to prior approval by the Board of Governors of the Federal Reserve System at </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of the principal amount, plus accrued and unpaid interest. These subordinated debentures consist of the following at </w:t>
      </w:r>
      <w:r>
        <w:rPr>
          <w:rStyle w:val="Emphasis"/>
          <w:rFonts w:ascii="Times New Roman" w:hAnsi="Times New Roman"/>
          <w:caps w:val="false"/>
          <w:smallCaps w:val="false"/>
          <w:sz w:val="20"/>
        </w:rPr>
        <w:t>June 30, 2026</w:t>
      </w:r>
      <w:r>
        <w:rPr>
          <w:rFonts w:ascii="Times New Roman" w:hAnsi="Times New Roman"/>
          <w:caps w:val="false"/>
          <w:smallCaps w:val="false"/>
          <w:sz w:val="20"/>
        </w:rPr>
        <w:t> and are described in detail after the table below:</w:t>
      </w:r>
    </w:p>
    <w:p>
      <w:pPr>
        <w:pStyle w:val="TextBody"/>
        <w:bidi w:val="0"/>
        <w:spacing w:before="0" w:after="0"/>
        <w:ind w:left="0" w:right="0" w:firstLine="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68"/>
        <w:gridCol w:w="595"/>
        <w:gridCol w:w="60"/>
        <w:gridCol w:w="174"/>
        <w:gridCol w:w="828"/>
        <w:gridCol w:w="60"/>
        <w:gridCol w:w="60"/>
        <w:gridCol w:w="314"/>
        <w:gridCol w:w="1223"/>
        <w:gridCol w:w="60"/>
        <w:gridCol w:w="60"/>
        <w:gridCol w:w="169"/>
        <w:gridCol w:w="801"/>
        <w:gridCol w:w="60"/>
        <w:gridCol w:w="2046"/>
        <w:gridCol w:w="60"/>
        <w:gridCol w:w="140"/>
        <w:gridCol w:w="903"/>
        <w:gridCol w:w="185"/>
        <w:gridCol w:w="939"/>
      </w:tblGrid>
      <w:tr>
        <w:trPr/>
        <w:tc>
          <w:tcPr>
            <w:tcW w:w="1468" w:type="dxa"/>
            <w:tcBorders/>
            <w:shd w:fill="FFFFFF" w:val="clear"/>
            <w:vAlign w:val="center"/>
          </w:tcPr>
          <w:p>
            <w:pPr>
              <w:pStyle w:val="TableContents"/>
              <w:bidi w:val="0"/>
              <w:spacing w:before="0" w:after="283"/>
              <w:ind w:left="0" w:right="0" w:hanging="0"/>
              <w:jc w:val="left"/>
              <w:rPr/>
            </w:pPr>
            <w:r>
              <w:rPr/>
              <w:t> </w:t>
            </w:r>
          </w:p>
        </w:tc>
        <w:tc>
          <w:tcPr>
            <w:tcW w:w="59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Issue Date</w:t>
            </w:r>
          </w:p>
        </w:tc>
        <w:tc>
          <w:tcPr>
            <w:tcW w:w="60" w:type="dxa"/>
            <w:tcBorders/>
            <w:shd w:fill="FFFFFF" w:val="clear"/>
            <w:vAlign w:val="center"/>
          </w:tcPr>
          <w:p>
            <w:pPr>
              <w:pStyle w:val="TableContents"/>
              <w:bidi w:val="0"/>
              <w:spacing w:before="0" w:after="283"/>
              <w:ind w:left="0" w:right="0" w:hanging="0"/>
              <w:jc w:val="left"/>
              <w:rPr/>
            </w:pPr>
            <w:r>
              <w:rPr/>
              <w:t> </w:t>
            </w:r>
          </w:p>
        </w:tc>
        <w:tc>
          <w:tcPr>
            <w:tcW w:w="100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Principal 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Unamortized Valuation Reserve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Recorded Value</w:t>
            </w:r>
          </w:p>
        </w:tc>
        <w:tc>
          <w:tcPr>
            <w:tcW w:w="60" w:type="dxa"/>
            <w:tcBorders/>
            <w:shd w:fill="FFFFFF" w:val="clear"/>
            <w:vAlign w:val="center"/>
          </w:tcPr>
          <w:p>
            <w:pPr>
              <w:pStyle w:val="TableContents"/>
              <w:bidi w:val="0"/>
              <w:spacing w:before="0" w:after="283"/>
              <w:ind w:left="0" w:right="0" w:hanging="0"/>
              <w:jc w:val="left"/>
              <w:rPr/>
            </w:pPr>
            <w:r>
              <w:rPr/>
              <w:t> </w:t>
            </w:r>
          </w:p>
        </w:tc>
        <w:tc>
          <w:tcPr>
            <w:tcW w:w="2046"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Stated Rate Description</w:t>
            </w:r>
          </w:p>
        </w:tc>
        <w:tc>
          <w:tcPr>
            <w:tcW w:w="60" w:type="dxa"/>
            <w:tcBorders/>
            <w:shd w:fill="FFFFFF" w:val="clear"/>
            <w:vAlign w:val="center"/>
          </w:tcPr>
          <w:p>
            <w:pPr>
              <w:pStyle w:val="TableContents"/>
              <w:bidi w:val="0"/>
              <w:spacing w:before="0" w:after="283"/>
              <w:ind w:left="0" w:right="0" w:hanging="0"/>
              <w:jc w:val="left"/>
              <w:rPr/>
            </w:pPr>
            <w:r>
              <w:rPr/>
              <w:t> </w:t>
            </w:r>
          </w:p>
        </w:tc>
        <w:tc>
          <w:tcPr>
            <w:tcW w:w="104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Effective Stated Rate</w:t>
            </w:r>
          </w:p>
        </w:tc>
        <w:tc>
          <w:tcPr>
            <w:tcW w:w="185" w:type="dxa"/>
            <w:tcBorders/>
            <w:shd w:fill="FFFFFF" w:val="clear"/>
            <w:vAlign w:val="center"/>
          </w:tcPr>
          <w:p>
            <w:pPr>
              <w:pStyle w:val="TableContents"/>
              <w:bidi w:val="0"/>
              <w:spacing w:before="0" w:after="283"/>
              <w:ind w:left="0" w:right="0" w:hanging="0"/>
              <w:jc w:val="left"/>
              <w:rPr/>
            </w:pPr>
            <w:r>
              <w:rPr/>
              <w:t> </w:t>
            </w:r>
          </w:p>
        </w:tc>
        <w:tc>
          <w:tcPr>
            <w:tcW w:w="939"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Stated Maturity</w:t>
            </w:r>
          </w:p>
        </w:tc>
      </w:tr>
      <w:tr>
        <w:trPr/>
        <w:tc>
          <w:tcPr>
            <w:tcW w:w="14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Subordinated debentures:</w:t>
            </w:r>
          </w:p>
        </w:tc>
        <w:tc>
          <w:tcPr>
            <w:tcW w:w="8737" w:type="dxa"/>
            <w:gridSpan w:val="19"/>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i/>
                <w:caps w:val="false"/>
                <w:smallCaps w:val="false"/>
                <w:sz w:val="20"/>
              </w:rPr>
              <w:t>(dollars in thousands)</w:t>
            </w:r>
          </w:p>
        </w:tc>
      </w:tr>
      <w:tr>
        <w:trPr/>
        <w:tc>
          <w:tcPr>
            <w:tcW w:w="146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TFC Trust</w:t>
            </w:r>
          </w:p>
        </w:tc>
        <w:tc>
          <w:tcPr>
            <w:tcW w:w="59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12/22/2006</w:t>
            </w:r>
          </w:p>
        </w:tc>
        <w:tc>
          <w:tcPr>
            <w:tcW w:w="60" w:type="dxa"/>
            <w:tcBorders/>
            <w:shd w:fill="CCEEFF" w:val="clear"/>
            <w:vAlign w:val="center"/>
          </w:tcPr>
          <w:p>
            <w:pPr>
              <w:pStyle w:val="TableContents"/>
              <w:bidi w:val="0"/>
              <w:spacing w:before="0" w:after="283"/>
              <w:ind w:left="0" w:right="0" w:hanging="0"/>
              <w:jc w:val="left"/>
              <w:rPr/>
            </w:pPr>
            <w:r>
              <w:rPr/>
              <w:t> </w:t>
            </w:r>
          </w:p>
        </w:tc>
        <w:tc>
          <w:tcPr>
            <w:tcW w:w="17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1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4,192</w:t>
            </w:r>
          </w:p>
        </w:tc>
        <w:tc>
          <w:tcPr>
            <w:tcW w:w="60" w:type="dxa"/>
            <w:tcBorders/>
            <w:shd w:fill="CCEEFF" w:val="clear"/>
            <w:vAlign w:val="center"/>
          </w:tcPr>
          <w:p>
            <w:pPr>
              <w:pStyle w:val="TableContents"/>
              <w:bidi w:val="0"/>
              <w:spacing w:before="0" w:after="283"/>
              <w:ind w:left="0" w:right="0" w:hanging="0"/>
              <w:jc w:val="left"/>
              <w:rPr/>
            </w:pPr>
            <w:r>
              <w:rPr/>
              <w:t> </w:t>
            </w:r>
          </w:p>
        </w:tc>
        <w:tc>
          <w:tcPr>
            <w:tcW w:w="2046"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Three-month CME Term SOFR plus 0.26% plus 1.65%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9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5.58</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9"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3/15/2037</w:t>
            </w:r>
          </w:p>
        </w:tc>
      </w:tr>
      <w:tr>
        <w:trPr/>
        <w:tc>
          <w:tcPr>
            <w:tcW w:w="146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FAIC Trust</w:t>
            </w:r>
          </w:p>
        </w:tc>
        <w:tc>
          <w:tcPr>
            <w:tcW w:w="595"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12/15/2004</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ind w:left="0" w:right="0" w:hanging="0"/>
              <w:jc w:val="left"/>
              <w:rPr/>
            </w:pPr>
            <w:r>
              <w:rPr/>
              <w:t> </w:t>
            </w:r>
          </w:p>
        </w:tc>
        <w:tc>
          <w:tcPr>
            <w:tcW w:w="12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6,568</w:t>
            </w:r>
          </w:p>
        </w:tc>
        <w:tc>
          <w:tcPr>
            <w:tcW w:w="60" w:type="dxa"/>
            <w:tcBorders/>
            <w:shd w:fill="FFFFFF" w:val="clear"/>
            <w:vAlign w:val="center"/>
          </w:tcPr>
          <w:p>
            <w:pPr>
              <w:pStyle w:val="TableContents"/>
              <w:bidi w:val="0"/>
              <w:spacing w:before="0" w:after="283"/>
              <w:ind w:left="0" w:right="0" w:hanging="0"/>
              <w:jc w:val="left"/>
              <w:rPr/>
            </w:pPr>
            <w:r>
              <w:rPr/>
              <w:t> </w:t>
            </w:r>
          </w:p>
        </w:tc>
        <w:tc>
          <w:tcPr>
            <w:tcW w:w="2046"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Three-month CME Term SOFR plus 0.26% plus 2.25%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9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6.18</w:t>
            </w:r>
          </w:p>
        </w:tc>
        <w:tc>
          <w:tcPr>
            <w:tcW w:w="18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9"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12/15/2034</w:t>
            </w:r>
          </w:p>
        </w:tc>
      </w:tr>
      <w:tr>
        <w:trPr/>
        <w:tc>
          <w:tcPr>
            <w:tcW w:w="146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PGBH Trust</w:t>
            </w:r>
          </w:p>
        </w:tc>
        <w:tc>
          <w:tcPr>
            <w:tcW w:w="595"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12/15/2004</w:t>
            </w:r>
          </w:p>
        </w:tc>
        <w:tc>
          <w:tcPr>
            <w:tcW w:w="60" w:type="dxa"/>
            <w:tcBorders/>
            <w:shd w:fill="CCEEFF" w:val="clear"/>
            <w:vAlign w:val="center"/>
          </w:tcPr>
          <w:p>
            <w:pPr>
              <w:pStyle w:val="TableContents"/>
              <w:bidi w:val="0"/>
              <w:spacing w:before="0" w:after="283"/>
              <w:jc w:val="left"/>
              <w:rPr/>
            </w:pPr>
            <w:r>
              <w:rPr/>
              <w:t> </w:t>
            </w:r>
          </w:p>
        </w:tc>
        <w:tc>
          <w:tcPr>
            <w:tcW w:w="1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4,724</w:t>
            </w:r>
          </w:p>
        </w:tc>
        <w:tc>
          <w:tcPr>
            <w:tcW w:w="60" w:type="dxa"/>
            <w:tcBorders/>
            <w:shd w:fill="CCEEFF" w:val="clear"/>
            <w:vAlign w:val="center"/>
          </w:tcPr>
          <w:p>
            <w:pPr>
              <w:pStyle w:val="TableContents"/>
              <w:bidi w:val="0"/>
              <w:spacing w:before="0" w:after="283"/>
              <w:ind w:left="0" w:right="0" w:hanging="0"/>
              <w:jc w:val="left"/>
              <w:rPr/>
            </w:pPr>
            <w:r>
              <w:rPr/>
              <w:t> </w:t>
            </w:r>
          </w:p>
        </w:tc>
        <w:tc>
          <w:tcPr>
            <w:tcW w:w="2046"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Three-month CME Term SOFR plus 0.26% plus 2.10%</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9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6.03</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9"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12/15/2034</w:t>
            </w:r>
          </w:p>
        </w:tc>
      </w:tr>
      <w:tr>
        <w:trPr/>
        <w:tc>
          <w:tcPr>
            <w:tcW w:w="2063" w:type="dxa"/>
            <w:gridSpan w:val="2"/>
            <w:tcBorders/>
            <w:shd w:fill="FFFF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7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1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15,484</w:t>
            </w:r>
          </w:p>
        </w:tc>
        <w:tc>
          <w:tcPr>
            <w:tcW w:w="60" w:type="dxa"/>
            <w:tcBorders/>
            <w:shd w:fill="FFFFFF" w:val="clear"/>
            <w:vAlign w:val="center"/>
          </w:tcPr>
          <w:p>
            <w:pPr>
              <w:pStyle w:val="TableContents"/>
              <w:bidi w:val="0"/>
              <w:spacing w:before="0" w:after="283"/>
              <w:jc w:val="left"/>
              <w:rPr/>
            </w:pPr>
            <w:r>
              <w:rPr/>
              <w:t> </w:t>
            </w:r>
          </w:p>
        </w:tc>
        <w:tc>
          <w:tcPr>
            <w:tcW w:w="2046"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left"/>
              <w:rPr/>
            </w:pPr>
            <w:r>
              <w:rPr>
                <w:rStyle w:val="Emphasis"/>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54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2016,</w:t>
      </w:r>
      <w:r>
        <w:rPr>
          <w:rFonts w:ascii="Times New Roman" w:hAnsi="Times New Roman"/>
          <w:caps w:val="false"/>
          <w:smallCaps w:val="false"/>
          <w:sz w:val="20"/>
        </w:rPr>
        <w:t xml:space="preserve"> we acquired TFC Statutory Trust (the “TFC Trust”) through the acquisition of Tomato Bank and its holding company, TFC Holding Company. At the close of this acquisition, a $1.9 million valuation reserve was recorded to arrive at its fair market value, which is treated as a yield adjustment and amortized over the life of the security. The unamortized valuation reserve was </w:t>
      </w:r>
      <w:r>
        <w:rPr>
          <w:rFonts w:ascii="Times New Roman" w:hAnsi="Times New Roman"/>
          <w:caps w:val="false"/>
          <w:smallCaps w:val="false"/>
          <w:sz w:val="20"/>
          <w:shd w:fill="FFFFFF" w:val="clear"/>
        </w:rPr>
        <w:t>$1.0 million </w:t>
      </w:r>
      <w:r>
        <w:rPr>
          <w:rFonts w:ascii="Times New Roman" w:hAnsi="Times New Roman"/>
          <w:caps w:val="false"/>
          <w:smallCaps w:val="false"/>
          <w:sz w:val="20"/>
        </w:rPr>
        <w:t xml:space="preserve">at </w:t>
      </w:r>
      <w:r>
        <w:rPr>
          <w:rStyle w:val="Emphasis"/>
          <w:rFonts w:ascii="Times New Roman" w:hAnsi="Times New Roman"/>
          <w:caps w:val="false"/>
          <w:smallCaps w:val="false"/>
          <w:sz w:val="20"/>
        </w:rPr>
        <w:t>June 30, 2026</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The subordinated debentures have a variable rate of interest equal to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-month CME Term SOFR plus applicable tenor spread adjustment of 0.26% plus 1.65%, which was 5.58%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5.63% at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October 2018, </w:t>
      </w:r>
      <w:r>
        <w:rPr>
          <w:rFonts w:ascii="Times New Roman" w:hAnsi="Times New Roman"/>
          <w:caps w:val="false"/>
          <w:smallCaps w:val="false"/>
          <w:sz w:val="20"/>
        </w:rPr>
        <w:t xml:space="preserve">we acquired First American International Statutory Trust I (“FAIC Trust”) through the acquisition of First American International Corp. (“FAIC”). At the close of this acquisition, a $1.2 million valuation reserve was recorded to arrive at its fair market value, which is treated as a yield adjustment and amortized over the life of the security. The unamortized valuation reserve was $649,000 at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$688,000 at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The subordinated debentures have a variable rate of interest equal to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-month CME Term SOFR plus applicable tenor spread adjustment of 0.26% plus 2.25%, which was 6.18%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6.23% at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0"/>
        <w:ind w:left="0" w:right="0" w:hanging="0"/>
        <w:jc w:val="left"/>
        <w:rPr/>
      </w:pPr>
      <w:r>
        <w:rPr/>
        <w:t> </w:t>
      </w:r>
    </w:p>
    <w:p>
      <w:pPr>
        <w:pStyle w:val="TextBody"/>
        <w:bidi w:val="0"/>
        <w:spacing w:before="0" w:after="0"/>
        <w:ind w:left="0" w:right="0" w:firstLine="54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January 2020, </w:t>
      </w:r>
      <w:r>
        <w:rPr>
          <w:rFonts w:ascii="Times New Roman" w:hAnsi="Times New Roman"/>
          <w:caps w:val="false"/>
          <w:smallCaps w:val="false"/>
          <w:sz w:val="20"/>
        </w:rPr>
        <w:t xml:space="preserve">we acquired Pacific Global Bank Trust I (“PGBH Trust”) through the acquisition of PGB Holdings, Inc. At the close of this acquisition, a $763,000 valuation reserve was recorded to arrive at its fair market value, which is treated as a yield adjustment and amortized over the life of the security. The unamortized valuation reserve was </w:t>
      </w:r>
      <w:r>
        <w:rPr>
          <w:rFonts w:ascii="Times New Roman" w:hAnsi="Times New Roman"/>
          <w:caps w:val="false"/>
          <w:smallCaps w:val="false"/>
          <w:sz w:val="20"/>
          <w:shd w:fill="FFFFFF" w:val="clear"/>
        </w:rPr>
        <w:t>$431,000 </w:t>
      </w:r>
      <w:r>
        <w:rPr>
          <w:rFonts w:ascii="Times New Roman" w:hAnsi="Times New Roman"/>
          <w:caps w:val="false"/>
          <w:smallCaps w:val="false"/>
          <w:sz w:val="20"/>
        </w:rPr>
        <w:t xml:space="preserve">at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$456,000 at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The subordinated debentures have a variable rate of interest equal to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-month CME Term SOFR plus applicable tenor spread adjustment of 0.26% plus 2.10%, which was 6.03%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6.08% at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We recognized interest expense on the subordinated debentures of $255,000, $255,000, and $283,000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March 31,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June 30, 2025</w:t>
      </w:r>
      <w:r>
        <w:rPr>
          <w:rFonts w:ascii="Times New Roman" w:hAnsi="Times New Roman"/>
          <w:caps w:val="false"/>
          <w:smallCaps w:val="false"/>
          <w:sz w:val="20"/>
        </w:rPr>
        <w:t>, an</w:t>
      </w:r>
      <w:r>
        <w:rPr>
          <w:rFonts w:ascii="Times New Roman" w:hAnsi="Times New Roman"/>
          <w:caps w:val="false"/>
          <w:smallCaps w:val="false"/>
          <w:sz w:val="20"/>
          <w:shd w:fill="FFFFFF" w:val="clear"/>
        </w:rPr>
        <w:t xml:space="preserve">d $510,000 </w:t>
      </w:r>
      <w:r>
        <w:rPr>
          <w:rFonts w:ascii="Times New Roman" w:hAnsi="Times New Roman"/>
          <w:caps w:val="false"/>
          <w:smallCaps w:val="false"/>
          <w:sz w:val="20"/>
        </w:rPr>
        <w:t xml:space="preserve">and $565,000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The aggregate amount of amortization expense was $55,000 for each of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March 31,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June 30, 2025</w:t>
      </w:r>
      <w:r>
        <w:rPr>
          <w:rFonts w:ascii="Times New Roman" w:hAnsi="Times New Roman"/>
          <w:caps w:val="false"/>
          <w:smallCaps w:val="false"/>
          <w:sz w:val="20"/>
        </w:rPr>
        <w:t>, an</w:t>
      </w:r>
      <w:r>
        <w:rPr>
          <w:rFonts w:ascii="Times New Roman" w:hAnsi="Times New Roman"/>
          <w:caps w:val="false"/>
          <w:smallCaps w:val="false"/>
          <w:sz w:val="20"/>
          <w:shd w:fill="FFFFFF" w:val="clear"/>
        </w:rPr>
        <w:t>d $110,000 f</w:t>
      </w:r>
      <w:r>
        <w:rPr>
          <w:rFonts w:ascii="Times New Roman" w:hAnsi="Times New Roman"/>
          <w:caps w:val="false"/>
          <w:smallCaps w:val="false"/>
          <w:sz w:val="20"/>
        </w:rPr>
        <w:t xml:space="preserve">or each of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We were in compliance with all covenants under the subordinated debentures as of </w:t>
      </w:r>
      <w:r>
        <w:rPr>
          <w:rStyle w:val="Emphasis"/>
          <w:rFonts w:ascii="Times New Roman" w:hAnsi="Times New Roman"/>
          <w:caps w:val="false"/>
          <w:smallCaps w:val="false"/>
          <w:sz w:val="20"/>
        </w:rPr>
        <w:t>June 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2026.</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For regulatory reporting purposes, the Federal Reserve has indicated that the capital of trust preferred securities qualify as Tier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capital of the Company subject to previously specified limitations (including that the asset size of the issuer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exceed </w:t>
      </w:r>
      <w:r>
        <w:rPr>
          <w:rStyle w:val="Emphasis"/>
          <w:rFonts w:ascii="Times New Roman" w:hAnsi="Times New Roman"/>
          <w:caps w:val="false"/>
          <w:smallCaps w:val="false"/>
          <w:sz w:val="20"/>
        </w:rPr>
        <w:t>$15</w:t>
      </w:r>
      <w:r>
        <w:rPr>
          <w:rFonts w:ascii="Times New Roman" w:hAnsi="Times New Roman"/>
          <w:caps w:val="false"/>
          <w:smallCaps w:val="false"/>
          <w:sz w:val="20"/>
        </w:rPr>
        <w:t xml:space="preserve"> billion). If regulators make a determination that the capital securities can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be considered in regulatory capital, the securities become callable and we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redeem them.</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11</w:t>
      </w:r>
      <w:r>
        <w:rPr>
          <w:rFonts w:ascii="Times New Roman" w:hAnsi="Times New Roman"/>
          <w:b/>
          <w:caps w:val="false"/>
          <w:smallCaps w:val="false"/>
          <w:sz w:val="20"/>
        </w:rPr>
        <w:t xml:space="preserve"> - BORROWING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The Bank has established secured and unsecured lines of credit. The Bank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borrow funds from time to time on a term or overnight basis from the FHLB, the Federal Reserve Bank of San Francisco (“FRB”) and other financial institutions as indicated below.</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i/>
          <w:caps w:val="false"/>
          <w:smallCaps w:val="false"/>
          <w:sz w:val="20"/>
        </w:rPr>
        <w:t>FHLB Secured Line of Credit and Advances.</w:t>
      </w:r>
      <w:r>
        <w:rPr>
          <w:rFonts w:ascii="Times New Roman" w:hAnsi="Times New Roman"/>
          <w:caps w:val="false"/>
          <w:smallCaps w:val="false"/>
          <w:sz w:val="20"/>
        </w:rPr>
        <w:t xml:space="preserve"> At </w:t>
      </w:r>
      <w:r>
        <w:rPr>
          <w:rStyle w:val="Emphasis"/>
          <w:rFonts w:ascii="Times New Roman" w:hAnsi="Times New Roman"/>
          <w:caps w:val="false"/>
          <w:smallCaps w:val="false"/>
          <w:sz w:val="20"/>
        </w:rPr>
        <w:t>June 30, 2026</w:t>
      </w:r>
      <w:r>
        <w:rPr>
          <w:rFonts w:ascii="Times New Roman" w:hAnsi="Times New Roman"/>
          <w:caps w:val="false"/>
          <w:smallCaps w:val="false"/>
          <w:sz w:val="20"/>
        </w:rPr>
        <w:t>, the Bank had secured borrowing capacity with the FHLB of</w:t>
      </w:r>
      <w:r>
        <w:rPr>
          <w:rFonts w:ascii="Times New Roman" w:hAnsi="Times New Roman"/>
          <w:caps w:val="false"/>
          <w:smallCaps w:val="false"/>
          <w:sz w:val="20"/>
          <w:shd w:fill="FFFFFF" w:val="clear"/>
        </w:rPr>
        <w:t xml:space="preserve"> $1.5 billion </w:t>
      </w:r>
      <w:r>
        <w:rPr>
          <w:rFonts w:ascii="Times New Roman" w:hAnsi="Times New Roman"/>
          <w:caps w:val="false"/>
          <w:smallCaps w:val="false"/>
          <w:sz w:val="20"/>
        </w:rPr>
        <w:t>collateralized by pledged residential and commercial loans with a carrying value of</w:t>
      </w:r>
      <w:r>
        <w:rPr>
          <w:rFonts w:ascii="Times New Roman" w:hAnsi="Times New Roman"/>
          <w:caps w:val="false"/>
          <w:smallCaps w:val="false"/>
          <w:sz w:val="20"/>
          <w:shd w:fill="FFFFFF" w:val="clear"/>
        </w:rPr>
        <w:t xml:space="preserve"> $2.0 billion</w:t>
      </w:r>
      <w:r>
        <w:rPr>
          <w:rFonts w:ascii="Times New Roman" w:hAnsi="Times New Roman"/>
          <w:caps w:val="false"/>
          <w:smallCaps w:val="false"/>
          <w:sz w:val="20"/>
        </w:rPr>
        <w:t xml:space="preserve">. At </w:t>
      </w:r>
      <w:r>
        <w:rPr>
          <w:rStyle w:val="Emphasis"/>
          <w:rFonts w:ascii="Times New Roman" w:hAnsi="Times New Roman"/>
          <w:caps w:val="false"/>
          <w:smallCaps w:val="false"/>
          <w:sz w:val="20"/>
        </w:rPr>
        <w:t>June 30, 2026</w:t>
      </w:r>
      <w:r>
        <w:rPr>
          <w:rFonts w:ascii="Times New Roman" w:hAnsi="Times New Roman"/>
          <w:caps w:val="false"/>
          <w:smallCaps w:val="false"/>
          <w:sz w:val="20"/>
        </w:rPr>
        <w:t>, the Bank had no overnight advances, $20.0 million in term advances, an</w:t>
      </w:r>
      <w:r>
        <w:rPr>
          <w:rFonts w:ascii="Times New Roman" w:hAnsi="Times New Roman"/>
          <w:caps w:val="false"/>
          <w:smallCaps w:val="false"/>
          <w:sz w:val="20"/>
          <w:shd w:fill="FFFFFF" w:val="clear"/>
        </w:rPr>
        <w:t>d $140.0 million o</w:t>
      </w:r>
      <w:r>
        <w:rPr>
          <w:rFonts w:ascii="Times New Roman" w:hAnsi="Times New Roman"/>
          <w:caps w:val="false"/>
          <w:smallCaps w:val="false"/>
          <w:sz w:val="20"/>
        </w:rPr>
        <w:t xml:space="preserve">f putable term advances. The weighted average rate of FHLB advances was 3.83% at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 remaining secured borrowing capacity with the FHLB was $1.4 billion as of </w:t>
      </w:r>
      <w:r>
        <w:rPr>
          <w:rStyle w:val="Emphasis"/>
          <w:rFonts w:ascii="Times New Roman" w:hAnsi="Times New Roman"/>
          <w:caps w:val="false"/>
          <w:smallCaps w:val="false"/>
          <w:sz w:val="20"/>
        </w:rPr>
        <w:t>June 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2026.</w:t>
      </w:r>
      <w:r>
        <w:rPr>
          <w:rFonts w:ascii="Times New Roman" w:hAnsi="Times New Roman"/>
          <w:caps w:val="false"/>
          <w:smallCaps w:val="false"/>
          <w:sz w:val="20"/>
        </w:rPr>
        <w:t>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both"/>
        <w:rPr/>
      </w:pPr>
      <w:r>
        <w:rPr>
          <w:rFonts w:ascii="Times New Roman" w:hAnsi="Times New Roman"/>
          <w:caps w:val="false"/>
          <w:smallCaps w:val="false"/>
          <w:sz w:val="20"/>
        </w:rPr>
        <w:t xml:space="preserve">The details of the FHLB term advances outstanding at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are shown in Next Call Date order in the table below:</w:t>
      </w:r>
    </w:p>
    <w:p>
      <w:pPr>
        <w:pStyle w:val="TextBody"/>
        <w:bidi w:val="0"/>
        <w:spacing w:before="0" w:after="0"/>
        <w:ind w:left="0" w:right="0" w:hanging="0"/>
        <w:jc w:val="left"/>
        <w:rPr>
          <w:caps w:val="false"/>
          <w:smallCaps w:val="false"/>
        </w:rPr>
      </w:pPr>
      <w:r>
        <w:rPr>
          <w:caps w:val="false"/>
          <w:smallCaps w:val="false"/>
        </w:rPr>
        <w:t> </w:t>
      </w:r>
    </w:p>
    <w:tbl>
      <w:tblPr>
        <w:tblW w:w="7945" w:type="dxa"/>
        <w:jc w:val="left"/>
        <w:tblInd w:w="0" w:type="dxa"/>
        <w:tblLayout w:type="fixed"/>
        <w:tblCellMar>
          <w:top w:w="0" w:type="dxa"/>
          <w:left w:w="0" w:type="dxa"/>
          <w:bottom w:w="28" w:type="dxa"/>
          <w:right w:w="0" w:type="dxa"/>
        </w:tblCellMar>
      </w:tblPr>
      <w:tblGrid>
        <w:gridCol w:w="1205"/>
        <w:gridCol w:w="60"/>
        <w:gridCol w:w="125"/>
        <w:gridCol w:w="695"/>
        <w:gridCol w:w="60"/>
        <w:gridCol w:w="60"/>
        <w:gridCol w:w="60"/>
        <w:gridCol w:w="380"/>
        <w:gridCol w:w="185"/>
        <w:gridCol w:w="60"/>
        <w:gridCol w:w="1400"/>
        <w:gridCol w:w="60"/>
        <w:gridCol w:w="1250"/>
        <w:gridCol w:w="60"/>
        <w:gridCol w:w="2285"/>
      </w:tblGrid>
      <w:tr>
        <w:trPr/>
        <w:tc>
          <w:tcPr>
            <w:tcW w:w="1205"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Advance Date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Rate</w:t>
            </w:r>
          </w:p>
        </w:tc>
        <w:tc>
          <w:tcPr>
            <w:tcW w:w="185" w:type="dxa"/>
            <w:tcBorders/>
            <w:shd w:fill="FFFFFF" w:val="clear"/>
            <w:tcMar>
              <w:bottom w:w="0" w:type="dxa"/>
            </w:tcMar>
            <w:vAlign w:val="center"/>
          </w:tcPr>
          <w:p>
            <w:pPr>
              <w:pStyle w:val="TableContents"/>
              <w:bidi w:val="0"/>
              <w:spacing w:before="0" w:after="283"/>
              <w:ind w:left="0" w:right="0" w:hanging="0"/>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1400" w:type="dxa"/>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Call Structure</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1250" w:type="dxa"/>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Next Call Date</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2285" w:type="dxa"/>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Final Stated Maturity Date</w:t>
            </w:r>
          </w:p>
        </w:tc>
      </w:tr>
      <w:tr>
        <w:trPr/>
        <w:tc>
          <w:tcPr>
            <w:tcW w:w="12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680" w:type="dxa"/>
            <w:gridSpan w:val="13"/>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(dollars in thousands)</w:t>
            </w:r>
          </w:p>
        </w:tc>
      </w:tr>
      <w:tr>
        <w:trPr/>
        <w:tc>
          <w:tcPr>
            <w:tcW w:w="120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5/8/2025</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8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w:t>
            </w:r>
          </w:p>
        </w:tc>
        <w:tc>
          <w:tcPr>
            <w:tcW w:w="18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400" w:type="dxa"/>
            <w:tcBorders/>
            <w:shd w:fill="CCEEFF" w:val="clear"/>
            <w:tcMar>
              <w:bottom w:w="0" w:type="dxa"/>
            </w:tcMar>
            <w:vAlign w:val="center"/>
          </w:tcPr>
          <w:p>
            <w:pPr>
              <w:pStyle w:val="TableContents"/>
              <w:bidi w:val="0"/>
              <w:spacing w:before="0" w:after="0"/>
              <w:ind w:left="0" w:right="0" w:hanging="0"/>
              <w:jc w:val="left"/>
              <w:rPr/>
            </w:pPr>
            <w:r>
              <w:rPr>
                <w:rStyle w:val="Emphasis"/>
                <w:rFonts w:ascii="Times New Roman;Times;serif" w:hAnsi="Times New Roman;Times;serif"/>
                <w:sz w:val="20"/>
              </w:rPr>
              <w:t>N/A</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0" w:type="dxa"/>
            <w:tcBorders/>
            <w:shd w:fill="CCEE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N/A</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285" w:type="dxa"/>
            <w:tcBorders/>
            <w:shd w:fill="CCEE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5/10/2028</w:t>
            </w:r>
          </w:p>
        </w:tc>
      </w:tr>
      <w:tr>
        <w:trPr/>
        <w:tc>
          <w:tcPr>
            <w:tcW w:w="120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6/23/2025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3.64</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400" w:type="dxa"/>
            <w:tcBorders/>
            <w:shd w:fill="FFFFFF" w:val="clear"/>
            <w:tcMar>
              <w:bottom w:w="0" w:type="dxa"/>
            </w:tcMar>
            <w:vAlign w:val="center"/>
          </w:tcPr>
          <w:p>
            <w:pPr>
              <w:pStyle w:val="TableContents"/>
              <w:bidi w:val="0"/>
              <w:spacing w:before="0" w:after="0"/>
              <w:ind w:left="0" w:right="0" w:hanging="0"/>
              <w:jc w:val="left"/>
              <w:rPr/>
            </w:pPr>
            <w:r>
              <w:rPr>
                <w:rStyle w:val="Emphasis"/>
                <w:rFonts w:ascii="Times New Roman;Times;serif" w:hAnsi="Times New Roman;Times;serif"/>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85" w:type="dxa"/>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6/23/2028</w:t>
            </w:r>
          </w:p>
        </w:tc>
      </w:tr>
      <w:tr>
        <w:trPr/>
        <w:tc>
          <w:tcPr>
            <w:tcW w:w="120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5/8/2025</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8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w:t>
            </w:r>
          </w:p>
        </w:tc>
        <w:tc>
          <w:tcPr>
            <w:tcW w:w="18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400" w:type="dxa"/>
            <w:tcBorders/>
            <w:shd w:fill="CCEEFF" w:val="clear"/>
            <w:tcMar>
              <w:bottom w:w="0" w:type="dxa"/>
            </w:tcM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Quarterly call (1)</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0" w:type="dxa"/>
            <w:tcBorders/>
            <w:shd w:fill="CCEE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8/10/2026</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285" w:type="dxa"/>
            <w:tcBorders/>
            <w:shd w:fill="CCEE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5/8/2029</w:t>
            </w:r>
          </w:p>
        </w:tc>
      </w:tr>
      <w:tr>
        <w:trPr/>
        <w:tc>
          <w:tcPr>
            <w:tcW w:w="120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6/15/2026</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8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w:t>
            </w:r>
          </w:p>
        </w:tc>
        <w:tc>
          <w:tcPr>
            <w:tcW w:w="18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400" w:type="dxa"/>
            <w:tcBorders/>
            <w:shd w:fill="FFFFFF" w:val="clear"/>
            <w:tcMar>
              <w:bottom w:w="0" w:type="dxa"/>
            </w:tcM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One time call (2)</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0" w:type="dxa"/>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9/15/2026</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285" w:type="dxa"/>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6/15/2029</w:t>
            </w:r>
          </w:p>
        </w:tc>
      </w:tr>
      <w:tr>
        <w:trPr/>
        <w:tc>
          <w:tcPr>
            <w:tcW w:w="120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6/15/2026</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8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w:t>
            </w:r>
          </w:p>
        </w:tc>
        <w:tc>
          <w:tcPr>
            <w:tcW w:w="18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400" w:type="dxa"/>
            <w:tcBorders/>
            <w:shd w:fill="CCEEFF" w:val="clear"/>
            <w:tcMar>
              <w:bottom w:w="0" w:type="dxa"/>
            </w:tcM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One time call (2)</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0" w:type="dxa"/>
            <w:tcBorders/>
            <w:shd w:fill="CCEE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9/17/2026</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285" w:type="dxa"/>
            <w:tcBorders/>
            <w:shd w:fill="CCEE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6/17/2030</w:t>
            </w:r>
          </w:p>
        </w:tc>
      </w:tr>
      <w:tr>
        <w:trPr/>
        <w:tc>
          <w:tcPr>
            <w:tcW w:w="120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6/15/2026</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8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w:t>
            </w:r>
          </w:p>
        </w:tc>
        <w:tc>
          <w:tcPr>
            <w:tcW w:w="18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400" w:type="dxa"/>
            <w:tcBorders/>
            <w:shd w:fill="FFFFFF" w:val="clear"/>
            <w:tcMar>
              <w:bottom w:w="0" w:type="dxa"/>
            </w:tcM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One time call (3)</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0" w:type="dxa"/>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12/15/2026</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285" w:type="dxa"/>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6/15/2029</w:t>
            </w:r>
          </w:p>
        </w:tc>
      </w:tr>
      <w:tr>
        <w:trPr/>
        <w:tc>
          <w:tcPr>
            <w:tcW w:w="120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6/15/2026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3.84</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lineRule="auto" w:line="288" w:before="0" w:after="0"/>
              <w:ind w:left="0" w:right="0" w:hanging="0"/>
              <w:jc w:val="left"/>
              <w:rPr>
                <w:rFonts w:ascii="Times New Roman;Times;serif" w:hAnsi="Times New Roman;Times;serif"/>
                <w:sz w:val="20"/>
              </w:rPr>
            </w:pPr>
            <w:r>
              <w:rPr>
                <w:rFonts w:ascii="Times New Roman;Times;serif" w:hAnsi="Times New Roman;Times;serif"/>
                <w:sz w:val="20"/>
              </w:rPr>
              <w:t>One time call (3)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12/17/2026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85" w:type="dxa"/>
            <w:tcBorders/>
            <w:shd w:fill="CCEE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6/17/2030</w:t>
            </w:r>
          </w:p>
        </w:tc>
      </w:tr>
      <w:tr>
        <w:trPr/>
        <w:tc>
          <w:tcPr>
            <w:tcW w:w="120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6/15/2026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3.94</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lineRule="auto" w:line="288" w:before="0" w:after="0"/>
              <w:ind w:left="0" w:right="0" w:hanging="0"/>
              <w:jc w:val="left"/>
              <w:rPr>
                <w:rFonts w:ascii="Times New Roman;Times;serif" w:hAnsi="Times New Roman;Times;serif"/>
                <w:sz w:val="20"/>
              </w:rPr>
            </w:pPr>
            <w:r>
              <w:rPr>
                <w:rFonts w:ascii="Times New Roman;Times;serif" w:hAnsi="Times New Roman;Times;serif"/>
                <w:sz w:val="20"/>
              </w:rPr>
              <w:t>One time call (1)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6/15/2027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85" w:type="dxa"/>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6/15/2029</w:t>
            </w:r>
          </w:p>
        </w:tc>
      </w:tr>
      <w:tr>
        <w:trPr/>
        <w:tc>
          <w:tcPr>
            <w:tcW w:w="120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6/24/2026</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0"/>
              <w:ind w:left="0" w:right="0" w:hanging="0"/>
              <w:jc w:val="left"/>
              <w:rPr/>
            </w:pPr>
            <w:r>
              <w:rPr/>
              <w:t> </w:t>
            </w:r>
          </w:p>
        </w:tc>
        <w:tc>
          <w:tcPr>
            <w:tcW w:w="695" w:type="dxa"/>
            <w:tcBorders/>
            <w:shd w:fill="CCEEFF" w:val="clear"/>
            <w:tcMar>
              <w:bottom w:w="0"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4.01</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lineRule="auto" w:line="288" w:before="0" w:after="0"/>
              <w:ind w:left="0" w:right="0" w:hanging="0"/>
              <w:jc w:val="left"/>
              <w:rPr>
                <w:rFonts w:ascii="Times New Roman;Times;serif" w:hAnsi="Times New Roman;Times;serif"/>
                <w:sz w:val="20"/>
              </w:rPr>
            </w:pPr>
            <w:r>
              <w:rPr>
                <w:rFonts w:ascii="Times New Roman;Times;serif" w:hAnsi="Times New Roman;Times;serif"/>
                <w:sz w:val="20"/>
              </w:rPr>
              <w:t>One time call (1)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6/25/2027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85" w:type="dxa"/>
            <w:tcBorders/>
            <w:shd w:fill="CCEE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6/25/2029</w:t>
            </w:r>
          </w:p>
        </w:tc>
      </w:tr>
      <w:tr>
        <w:trPr/>
        <w:tc>
          <w:tcPr>
            <w:tcW w:w="120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6/24/2026</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3.97</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lineRule="auto" w:line="288" w:before="0" w:after="0"/>
              <w:ind w:left="0" w:right="0" w:hanging="0"/>
              <w:jc w:val="left"/>
              <w:rPr>
                <w:rFonts w:ascii="Times New Roman;Times;serif" w:hAnsi="Times New Roman;Times;serif"/>
                <w:sz w:val="20"/>
              </w:rPr>
            </w:pPr>
            <w:r>
              <w:rPr>
                <w:rFonts w:ascii="Times New Roman;Times;serif" w:hAnsi="Times New Roman;Times;serif"/>
                <w:sz w:val="20"/>
              </w:rPr>
              <w:t>One time call (1)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6/24/2027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85" w:type="dxa"/>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6/24/2030</w:t>
            </w:r>
          </w:p>
        </w:tc>
      </w:tr>
      <w:tr>
        <w:trPr/>
        <w:tc>
          <w:tcPr>
            <w:tcW w:w="120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3.83</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left"/>
              <w:rPr/>
            </w:pPr>
            <w:r>
              <w:rPr>
                <w:rStyle w:val="Emphasis"/>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left"/>
              <w:rPr/>
            </w:pPr>
            <w:r>
              <w:rPr>
                <w:rStyle w:val="Emphasis"/>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85" w:type="dxa"/>
            <w:tcBorders/>
            <w:shd w:fill="CCEEFF" w:val="clear"/>
            <w:tcMar>
              <w:bottom w:w="0" w:type="dxa"/>
            </w:tcMar>
            <w:vAlign w:val="center"/>
          </w:tcPr>
          <w:p>
            <w:pPr>
              <w:pStyle w:val="TableContents"/>
              <w:bidi w:val="0"/>
              <w:spacing w:before="0" w:after="283"/>
              <w:jc w:val="left"/>
              <w:rPr/>
            </w:pPr>
            <w:r>
              <w:rPr>
                <w:rStyle w:val="Emphasis"/>
              </w:rPr>
              <w:t> </w:t>
            </w:r>
          </w:p>
        </w:tc>
      </w:tr>
    </w:tbl>
    <w:tbl>
      <w:tblPr>
        <w:tblW w:w="6313" w:type="dxa"/>
        <w:jc w:val="left"/>
        <w:tblInd w:w="0" w:type="dxa"/>
        <w:tblLayout w:type="fixed"/>
        <w:tblCellMar>
          <w:top w:w="28" w:type="dxa"/>
          <w:left w:w="28" w:type="dxa"/>
          <w:bottom w:w="28" w:type="dxa"/>
          <w:right w:w="28" w:type="dxa"/>
        </w:tblCellMar>
      </w:tblPr>
      <w:tblGrid>
        <w:gridCol w:w="161"/>
        <w:gridCol w:w="406"/>
        <w:gridCol w:w="5746"/>
      </w:tblGrid>
      <w:tr>
        <w:trPr/>
        <w:tc>
          <w:tcPr>
            <w:tcW w:w="161"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0"/>
              <w:jc w:val="left"/>
              <w:rPr/>
            </w:pPr>
            <w:r>
              <w:rPr>
                <w:sz w:val="18"/>
              </w:rPr>
              <w:t xml:space="preserve">( </w:t>
            </w:r>
            <w:r>
              <w:rPr>
                <w:rStyle w:val="Emphasis"/>
                <w:sz w:val="18"/>
              </w:rPr>
              <w:t>1</w:t>
            </w:r>
            <w:r>
              <w:rPr>
                <w:sz w:val="18"/>
              </w:rPr>
              <w:t xml:space="preserve">) </w:t>
            </w:r>
          </w:p>
        </w:tc>
        <w:tc>
          <w:tcPr>
            <w:tcW w:w="5746" w:type="dxa"/>
            <w:tcBorders/>
            <w:vAlign w:val="center"/>
          </w:tcPr>
          <w:p>
            <w:pPr>
              <w:pStyle w:val="TableContents"/>
              <w:bidi w:val="0"/>
              <w:spacing w:before="0" w:after="0"/>
              <w:jc w:val="both"/>
              <w:rPr/>
            </w:pPr>
            <w:r>
              <w:rPr/>
              <w:t> </w:t>
            </w:r>
            <w:r>
              <w:rPr>
                <w:sz w:val="18"/>
              </w:rPr>
              <w:t xml:space="preserve">Call option by the FHLB after initial </w:t>
            </w:r>
            <w:r>
              <w:rPr>
                <w:rStyle w:val="Emphasis"/>
                <w:sz w:val="18"/>
              </w:rPr>
              <w:t>one</w:t>
            </w:r>
            <w:r>
              <w:rPr>
                <w:sz w:val="18"/>
              </w:rPr>
              <w:t xml:space="preserve"> year lock out. </w:t>
            </w:r>
          </w:p>
        </w:tc>
      </w:tr>
      <w:tr>
        <w:trPr/>
        <w:tc>
          <w:tcPr>
            <w:tcW w:w="161"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w:t>
            </w:r>
            <w:r>
              <w:rPr>
                <w:rStyle w:val="Emphasis"/>
              </w:rPr>
              <w:t>2</w:t>
            </w:r>
            <w:r>
              <w:rPr/>
              <w:t>)</w:t>
            </w:r>
          </w:p>
        </w:tc>
        <w:tc>
          <w:tcPr>
            <w:tcW w:w="5746" w:type="dxa"/>
            <w:tcBorders/>
            <w:vAlign w:val="center"/>
          </w:tcPr>
          <w:p>
            <w:pPr>
              <w:pStyle w:val="TableContents"/>
              <w:bidi w:val="0"/>
              <w:spacing w:before="0" w:after="283"/>
              <w:jc w:val="both"/>
              <w:rPr/>
            </w:pPr>
            <w:r>
              <w:rPr/>
              <w:t> </w:t>
            </w:r>
            <w:r>
              <w:rPr/>
              <w:t xml:space="preserve">Call option by the FHLB after initial </w:t>
            </w:r>
            <w:r>
              <w:rPr>
                <w:rStyle w:val="Emphasis"/>
              </w:rPr>
              <w:t>three</w:t>
            </w:r>
            <w:r>
              <w:rPr/>
              <w:t xml:space="preserve"> month lock out.</w:t>
            </w:r>
          </w:p>
        </w:tc>
      </w:tr>
      <w:tr>
        <w:trPr/>
        <w:tc>
          <w:tcPr>
            <w:tcW w:w="161"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w:t>
            </w:r>
            <w:r>
              <w:rPr>
                <w:rStyle w:val="Emphasis"/>
              </w:rPr>
              <w:t>3</w:t>
            </w:r>
            <w:r>
              <w:rPr/>
              <w:t>)</w:t>
            </w:r>
          </w:p>
        </w:tc>
        <w:tc>
          <w:tcPr>
            <w:tcW w:w="5746" w:type="dxa"/>
            <w:tcBorders/>
            <w:vAlign w:val="center"/>
          </w:tcPr>
          <w:p>
            <w:pPr>
              <w:pStyle w:val="TableContents"/>
              <w:bidi w:val="0"/>
              <w:spacing w:before="0" w:after="283"/>
              <w:jc w:val="both"/>
              <w:rPr/>
            </w:pPr>
            <w:r>
              <w:rPr/>
              <w:t> </w:t>
            </w:r>
            <w:r>
              <w:rPr/>
              <w:t xml:space="preserve">Call option by the FHLB after initial </w:t>
            </w:r>
            <w:r>
              <w:rPr>
                <w:rStyle w:val="Emphasis"/>
              </w:rPr>
              <w:t>six</w:t>
            </w:r>
            <w:r>
              <w:rPr/>
              <w:t xml:space="preserve"> month lock out.</w:t>
            </w:r>
          </w:p>
        </w:tc>
      </w:tr>
    </w:tbl>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i/>
          <w:caps w:val="false"/>
          <w:smallCaps w:val="false"/>
          <w:sz w:val="20"/>
        </w:rPr>
        <w:t>FRB Secured Line of Credit.</w:t>
      </w:r>
      <w:r>
        <w:rPr>
          <w:rFonts w:ascii="Times New Roman" w:hAnsi="Times New Roman"/>
          <w:caps w:val="false"/>
          <w:smallCaps w:val="false"/>
          <w:sz w:val="20"/>
        </w:rPr>
        <w:t xml:space="preserve"> At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the Bank had a secured borrowing capacity with the FRB </w:t>
      </w:r>
      <w:r>
        <w:rPr>
          <w:rFonts w:ascii="Times New Roman" w:hAnsi="Times New Roman"/>
          <w:caps w:val="false"/>
          <w:smallCaps w:val="false"/>
          <w:sz w:val="20"/>
          <w:shd w:fill="FFFFFF" w:val="clear"/>
        </w:rPr>
        <w:t>of $69.7 million </w:t>
      </w:r>
      <w:r>
        <w:rPr>
          <w:rFonts w:ascii="Times New Roman" w:hAnsi="Times New Roman"/>
          <w:caps w:val="false"/>
          <w:smallCaps w:val="false"/>
          <w:sz w:val="20"/>
        </w:rPr>
        <w:t>collateralized by pledged loans with a carrying value o</w:t>
      </w:r>
      <w:r>
        <w:rPr>
          <w:rFonts w:ascii="Times New Roman" w:hAnsi="Times New Roman"/>
          <w:caps w:val="false"/>
          <w:smallCaps w:val="false"/>
          <w:sz w:val="20"/>
          <w:shd w:fill="FFFFFF" w:val="clear"/>
        </w:rPr>
        <w:t>f $88.6 million.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i/>
          <w:caps w:val="false"/>
          <w:smallCaps w:val="false"/>
          <w:sz w:val="20"/>
        </w:rPr>
        <w:t>Federal Funds Arrangements with Commercial Banks.</w:t>
      </w:r>
      <w:r>
        <w:rPr>
          <w:rFonts w:ascii="Times New Roman" w:hAnsi="Times New Roman"/>
          <w:caps w:val="false"/>
          <w:smallCaps w:val="false"/>
          <w:sz w:val="20"/>
        </w:rPr>
        <w:t xml:space="preserve"> At </w:t>
      </w:r>
      <w:r>
        <w:rPr>
          <w:rStyle w:val="Emphasis"/>
          <w:rFonts w:ascii="Times New Roman" w:hAnsi="Times New Roman"/>
          <w:caps w:val="false"/>
          <w:smallCaps w:val="false"/>
          <w:sz w:val="20"/>
        </w:rPr>
        <w:t>June 30, 2026</w:t>
      </w:r>
      <w:r>
        <w:rPr>
          <w:rFonts w:ascii="Times New Roman" w:hAnsi="Times New Roman"/>
          <w:caps w:val="false"/>
          <w:smallCaps w:val="false"/>
          <w:sz w:val="20"/>
        </w:rPr>
        <w:t>, the Bank had established unsecured borrowing lines with other financial institutions totaling $97.0 million.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There were </w:t>
      </w:r>
      <w:r>
        <w:rPr>
          <w:rStyle w:val="Emphasis"/>
          <w:rFonts w:ascii="Times New Roman" w:hAnsi="Times New Roman"/>
          <w:caps w:val="false"/>
          <w:smallCaps w:val="false"/>
          <w:sz w:val="20"/>
          <w:shd w:fill="FFFFFF" w:val="clear"/>
        </w:rPr>
        <w:t>no</w:t>
      </w:r>
      <w:r>
        <w:rPr>
          <w:rFonts w:ascii="Times New Roman" w:hAnsi="Times New Roman"/>
          <w:caps w:val="false"/>
          <w:smallCaps w:val="false"/>
          <w:sz w:val="20"/>
          <w:shd w:fill="FFFFFF" w:val="clear"/>
        </w:rPr>
        <w:t xml:space="preserve"> amounts ou</w:t>
      </w:r>
      <w:r>
        <w:rPr>
          <w:rFonts w:ascii="Times New Roman" w:hAnsi="Times New Roman"/>
          <w:caps w:val="false"/>
          <w:smallCaps w:val="false"/>
          <w:sz w:val="20"/>
        </w:rPr>
        <w:t xml:space="preserve">tstanding under any of the other borrowing arrangements above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except the FHLB term advances of $160.0 million.</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12</w:t>
      </w:r>
      <w:r>
        <w:rPr>
          <w:rFonts w:ascii="Times New Roman" w:hAnsi="Times New Roman"/>
          <w:b/>
          <w:caps w:val="false"/>
          <w:smallCaps w:val="false"/>
          <w:sz w:val="20"/>
        </w:rPr>
        <w:t> -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asset and liability method is used in accounting for income taxes. Under this method, deferred tax assets and liabilities are determined based on differences between financial reporting and tax bases of assets and liabilities and are measured using the enacted tax rates and laws that will be in effect when the differences are expected to reverse.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We recorded an income tax provision of $3.9 million, $4.4 million, and $3.6 million, reflecting an effective tax rate of 28.0%, 28.0%, and 27.8%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March 31,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June 30, 2025</w:t>
      </w:r>
      <w:r>
        <w:rPr>
          <w:rFonts w:ascii="Times New Roman" w:hAnsi="Times New Roman"/>
          <w:caps w:val="false"/>
          <w:smallCaps w:val="false"/>
          <w:sz w:val="20"/>
        </w:rPr>
        <w:t xml:space="preserve">, and $8.3 million and $4.5 million, reflecting an effective tax rate of 28.0% and 27.9%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Company’s income tax expense results from domestic (federal) and state tax obligations since the Company has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foreign operations or foreign taxes for all periods presented.</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13</w:t>
      </w:r>
      <w:r>
        <w:rPr>
          <w:rFonts w:ascii="Times New Roman" w:hAnsi="Times New Roman"/>
          <w:b/>
          <w:caps w:val="false"/>
          <w:smallCaps w:val="false"/>
          <w:sz w:val="20"/>
        </w:rPr>
        <w:t xml:space="preserve"> -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In the ordinary course of business, we enter into financial commitments to meet the financing needs of our customers. These financial commitments include commitments to extend credit, unused lines of credit, commercial and similar letters of credit and standby letters of credit. Those instruments involve varying degrees of credit and interest rate risk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recognized in our financial statements.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exposure to loss in the event of nonperformance on these financial commitments is represented by the contractual amount of those instruments. We use the same credit policies in making commitments as we do for loans reflected in the financial statements.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had the following financial commitments whose contractual amount represents credit risk, as of the dates indicated:</w:t>
      </w:r>
    </w:p>
    <w:p>
      <w:pPr>
        <w:pStyle w:val="TextBody"/>
        <w:bidi w:val="0"/>
        <w:spacing w:before="0" w:after="0"/>
        <w:ind w:left="0" w:right="0" w:hanging="0"/>
        <w:jc w:val="left"/>
        <w:rPr>
          <w:caps w:val="false"/>
          <w:smallCaps w:val="false"/>
        </w:rPr>
      </w:pPr>
      <w:r>
        <w:rPr>
          <w:caps w:val="false"/>
          <w:smallCaps w:val="false"/>
        </w:rPr>
        <w:t> </w:t>
      </w:r>
    </w:p>
    <w:tbl>
      <w:tblPr>
        <w:tblW w:w="5323" w:type="dxa"/>
        <w:jc w:val="left"/>
        <w:tblInd w:w="0" w:type="dxa"/>
        <w:tblLayout w:type="fixed"/>
        <w:tblCellMar>
          <w:top w:w="0" w:type="dxa"/>
          <w:left w:w="0" w:type="dxa"/>
          <w:bottom w:w="0" w:type="dxa"/>
          <w:right w:w="0" w:type="dxa"/>
        </w:tblCellMar>
      </w:tblPr>
      <w:tblGrid>
        <w:gridCol w:w="3215"/>
        <w:gridCol w:w="60"/>
        <w:gridCol w:w="126"/>
        <w:gridCol w:w="598"/>
        <w:gridCol w:w="60"/>
        <w:gridCol w:w="60"/>
        <w:gridCol w:w="173"/>
        <w:gridCol w:w="971"/>
        <w:gridCol w:w="60"/>
      </w:tblGrid>
      <w:tr>
        <w:trPr/>
        <w:tc>
          <w:tcPr>
            <w:tcW w:w="3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21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2026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2025</w:t>
            </w:r>
          </w:p>
        </w:tc>
        <w:tc>
          <w:tcPr>
            <w:tcW w:w="60" w:type="dxa"/>
            <w:tcBorders/>
            <w:shd w:fill="FFFFFF" w:val="clear"/>
            <w:vAlign w:val="center"/>
          </w:tcPr>
          <w:p>
            <w:pPr>
              <w:pStyle w:val="TableContents"/>
              <w:bidi w:val="0"/>
              <w:spacing w:before="0" w:after="0"/>
              <w:jc w:val="left"/>
              <w:rPr/>
            </w:pPr>
            <w:r>
              <w:rPr/>
              <w:t> </w:t>
            </w:r>
          </w:p>
        </w:tc>
      </w:tr>
      <w:tr>
        <w:trPr/>
        <w:tc>
          <w:tcPr>
            <w:tcW w:w="3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88" w:type="dxa"/>
            <w:gridSpan w:val="6"/>
            <w:tcBorders/>
            <w:shd w:fill="FFFFFF" w:val="clear"/>
            <w:vAlign w:val="center"/>
          </w:tcPr>
          <w:p>
            <w:pPr>
              <w:pStyle w:val="TableContents"/>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(dollars in thousands)</w:t>
            </w:r>
          </w:p>
        </w:tc>
        <w:tc>
          <w:tcPr>
            <w:tcW w:w="60"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Commitments to make loans</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41,402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41,635</w:t>
            </w:r>
          </w:p>
        </w:tc>
        <w:tc>
          <w:tcPr>
            <w:tcW w:w="60"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Unused lines of credit</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50,877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97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64,513</w:t>
            </w:r>
          </w:p>
        </w:tc>
        <w:tc>
          <w:tcPr>
            <w:tcW w:w="60"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Commercial and similar letters of credit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97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2,389</w:t>
            </w:r>
          </w:p>
        </w:tc>
        <w:tc>
          <w:tcPr>
            <w:tcW w:w="60"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Standby letters of credit</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5,025</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21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97,641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113,562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Commitments to extend credit are agreements to lend to a customer as long as there is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violation of any condition established in the contract. Since many of the commitments are expected to expire without being drawn upon, the total amounts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represent future cash requirements. We evaluate each client's creditworthiness on a case-by-case basis.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We record a liability for lifetime expected losses on off-balance-sheet credit exposure that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fit the definition of unconditionally cancelable commitments in accordance with ASC </w:t>
      </w:r>
      <w:r>
        <w:rPr>
          <w:rStyle w:val="Emphasis"/>
          <w:rFonts w:ascii="Times New Roman" w:hAnsi="Times New Roman"/>
          <w:caps w:val="false"/>
          <w:smallCaps w:val="false"/>
          <w:sz w:val="20"/>
        </w:rPr>
        <w:t>326,</w:t>
      </w:r>
      <w:r>
        <w:rPr>
          <w:rFonts w:ascii="Times New Roman" w:hAnsi="Times New Roman"/>
          <w:caps w:val="false"/>
          <w:smallCaps w:val="false"/>
          <w:sz w:val="20"/>
        </w:rPr>
        <w:t xml:space="preserve"> which we refer to as the reserve for unfunded loan commitments ("RUC"). We use the loss rate and exposure at default framework to estimate a RUC. Loss rates for the expected funded balances are determined based on the associated pooled loan analysis loss rate and the exposure at default is based on an estimated utilization given default. The RUC was $407,000 and $484,000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We recorded a reversal of provision for unfunded loan commitments of ($77,000), zero, and zero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March 31,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June 30, 2025</w:t>
      </w:r>
      <w:r>
        <w:rPr>
          <w:rFonts w:ascii="Times New Roman" w:hAnsi="Times New Roman"/>
          <w:caps w:val="false"/>
          <w:smallCaps w:val="false"/>
          <w:sz w:val="20"/>
        </w:rPr>
        <w:t xml:space="preserve">. We recorded a reversal of provision for unfunded loan commitments of ($77,000) and ($100,000)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both"/>
        <w:rPr/>
      </w:pPr>
      <w:r>
        <w:rPr>
          <w:rFonts w:ascii="Times New Roman" w:hAnsi="Times New Roman"/>
          <w:caps w:val="false"/>
          <w:smallCaps w:val="false"/>
          <w:sz w:val="20"/>
        </w:rPr>
        <w:t xml:space="preserve">In addition, we invest in Small Business Investment Company funds, other equity investments for CRA purposes and investments in fintech venture funds. Pursuant to these investments, we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commit to an investment amount to be fulfilled in future periods. These unfunded commitments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on the Company's Balance Sheets and totaled </w:t>
      </w:r>
      <w:r>
        <w:rPr>
          <w:rFonts w:ascii="Times New Roman" w:hAnsi="Times New Roman"/>
          <w:caps w:val="false"/>
          <w:smallCaps w:val="false"/>
          <w:sz w:val="20"/>
          <w:shd w:fill="FFFFFF" w:val="clear"/>
        </w:rPr>
        <w:t xml:space="preserve">$3.1 million </w:t>
      </w: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$1.6 million 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We are involved in various matters of litigation which have arisen in the ordinary course of business and accruals for estimates of potential losses have been provided when necessary and appropriate under generally accepted accounting principles. In the opinion of management, the disposition of such pending litigation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 material effect on the Company's consolidated financial statements.</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Times;serif" w:hAnsi="Times New Roman;Times;serif"/>
          <w:b/>
          <w:sz w:val="20"/>
        </w:rPr>
        <w:t xml:space="preserve">NOTE </w:t>
      </w:r>
      <w:r>
        <w:rPr>
          <w:rStyle w:val="Emphasis"/>
          <w:rFonts w:ascii="Times New Roman;Times;serif" w:hAnsi="Times New Roman;Times;serif"/>
          <w:b/>
          <w:sz w:val="20"/>
        </w:rPr>
        <w:t>14</w:t>
      </w:r>
      <w:r>
        <w:rPr>
          <w:rFonts w:ascii="Times New Roman;Times;serif" w:hAnsi="Times New Roman;Times;serif"/>
          <w:b/>
          <w:sz w:val="20"/>
        </w:rPr>
        <w:t xml:space="preserve"> - LEASES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We lease several of our operating facilities under various non-cancellable operating leases expiring at various dates through </w:t>
      </w:r>
      <w:r>
        <w:rPr>
          <w:rStyle w:val="Emphasis"/>
          <w:rFonts w:ascii="Times New Roman" w:hAnsi="Times New Roman"/>
          <w:caps w:val="false"/>
          <w:smallCaps w:val="false"/>
          <w:sz w:val="20"/>
        </w:rPr>
        <w:t>2037.</w:t>
      </w:r>
      <w:r>
        <w:rPr>
          <w:rFonts w:ascii="Times New Roman" w:hAnsi="Times New Roman"/>
          <w:caps w:val="false"/>
          <w:smallCaps w:val="false"/>
          <w:sz w:val="20"/>
        </w:rPr>
        <w:t xml:space="preserve"> We are also responsible for common area maintenance, taxes, and insurance at the various branch locations.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Future minimum rent payments on our leases were as follows as of the date indicated:</w:t>
      </w:r>
    </w:p>
    <w:p>
      <w:pPr>
        <w:pStyle w:val="TextBody"/>
        <w:bidi w:val="0"/>
        <w:spacing w:before="0" w:after="0"/>
        <w:ind w:left="0" w:right="0" w:hanging="0"/>
        <w:jc w:val="left"/>
        <w:rPr>
          <w:caps w:val="false"/>
          <w:smallCaps w:val="false"/>
        </w:rPr>
      </w:pPr>
      <w:r>
        <w:rPr>
          <w:caps w:val="false"/>
          <w:smallCaps w:val="false"/>
        </w:rPr>
        <w:t> </w:t>
      </w:r>
    </w:p>
    <w:tbl>
      <w:tblPr>
        <w:tblW w:w="6119" w:type="dxa"/>
        <w:jc w:val="left"/>
        <w:tblInd w:w="0" w:type="dxa"/>
        <w:tblLayout w:type="fixed"/>
        <w:tblCellMar>
          <w:top w:w="0" w:type="dxa"/>
          <w:left w:w="0" w:type="dxa"/>
          <w:bottom w:w="0" w:type="dxa"/>
          <w:right w:w="0" w:type="dxa"/>
        </w:tblCellMar>
      </w:tblPr>
      <w:tblGrid>
        <w:gridCol w:w="4160"/>
        <w:gridCol w:w="60"/>
        <w:gridCol w:w="318"/>
        <w:gridCol w:w="1501"/>
        <w:gridCol w:w="80"/>
      </w:tblGrid>
      <w:tr>
        <w:trPr/>
        <w:tc>
          <w:tcPr>
            <w:tcW w:w="4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As of June 30, 2026</w:t>
            </w:r>
          </w:p>
        </w:tc>
        <w:tc>
          <w:tcPr>
            <w:tcW w:w="80" w:type="dxa"/>
            <w:tcBorders/>
            <w:shd w:fill="FFFFFF" w:val="clear"/>
            <w:vAlign w:val="center"/>
          </w:tcPr>
          <w:p>
            <w:pPr>
              <w:pStyle w:val="TableContents"/>
              <w:bidi w:val="0"/>
              <w:spacing w:before="0" w:after="283"/>
              <w:jc w:val="left"/>
              <w:rPr/>
            </w:pPr>
            <w:r>
              <w:rPr/>
              <w:t> </w:t>
            </w:r>
          </w:p>
        </w:tc>
      </w:tr>
      <w:tr>
        <w:trPr/>
        <w:tc>
          <w:tcPr>
            <w:tcW w:w="4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9" w:type="dxa"/>
            <w:gridSpan w:val="2"/>
            <w:tcBorders/>
            <w:shd w:fill="FFFFFF" w:val="clear"/>
            <w:vAlign w:val="center"/>
          </w:tcPr>
          <w:p>
            <w:pPr>
              <w:pStyle w:val="TableContents"/>
              <w:bidi w:val="0"/>
              <w:spacing w:before="0" w:after="283"/>
              <w:jc w:val="center"/>
              <w:rPr>
                <w:rFonts w:ascii="Times New Roman;Times;serif" w:hAnsi="Times New Roman;Times;serif"/>
                <w:b/>
                <w:i/>
                <w:sz w:val="20"/>
              </w:rPr>
            </w:pPr>
            <w:r>
              <w:rPr>
                <w:rFonts w:ascii="Times New Roman;Times;serif" w:hAnsi="Times New Roman;Times;serif"/>
                <w:b/>
                <w:i/>
                <w:sz w:val="20"/>
              </w:rPr>
              <w:t>(dollars in thousands)</w:t>
            </w:r>
          </w:p>
        </w:tc>
        <w:tc>
          <w:tcPr>
            <w:tcW w:w="80" w:type="dxa"/>
            <w:tcBorders/>
            <w:shd w:fill="FFFFFF" w:val="clear"/>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Remainder of 2026</w:t>
            </w:r>
          </w:p>
        </w:tc>
        <w:tc>
          <w:tcPr>
            <w:tcW w:w="60" w:type="dxa"/>
            <w:tcBorders/>
            <w:shd w:fill="CCEEFF" w:val="clear"/>
            <w:vAlign w:val="center"/>
          </w:tcPr>
          <w:p>
            <w:pPr>
              <w:pStyle w:val="TableContents"/>
              <w:bidi w:val="0"/>
              <w:spacing w:before="0" w:after="283"/>
              <w:ind w:left="0" w:right="0" w:hanging="0"/>
              <w:jc w:val="left"/>
              <w:rPr/>
            </w:pPr>
            <w:r>
              <w:rPr/>
              <w:t> </w:t>
            </w:r>
          </w:p>
        </w:tc>
        <w:tc>
          <w:tcPr>
            <w:tcW w:w="3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2,555</w:t>
            </w:r>
          </w:p>
        </w:tc>
        <w:tc>
          <w:tcPr>
            <w:tcW w:w="80" w:type="dxa"/>
            <w:tcBorders/>
            <w:shd w:fill="CCEEFF" w:val="clear"/>
            <w:vAlign w:val="center"/>
          </w:tcPr>
          <w:p>
            <w:pPr>
              <w:pStyle w:val="TableContents"/>
              <w:bidi w:val="0"/>
              <w:spacing w:before="0" w:after="283"/>
              <w:jc w:val="left"/>
              <w:rPr/>
            </w:pPr>
            <w:r>
              <w:rPr/>
              <w:t> </w:t>
            </w:r>
          </w:p>
        </w:tc>
      </w:tr>
      <w:tr>
        <w:trPr/>
        <w:tc>
          <w:tcPr>
            <w:tcW w:w="4160"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ind w:left="0" w:right="0" w:hanging="0"/>
              <w:jc w:val="left"/>
              <w:rPr/>
            </w:pPr>
            <w:r>
              <w:rPr/>
              <w:t> </w:t>
            </w:r>
          </w:p>
        </w:tc>
        <w:tc>
          <w:tcPr>
            <w:tcW w:w="15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6,152</w:t>
            </w:r>
          </w:p>
        </w:tc>
        <w:tc>
          <w:tcPr>
            <w:tcW w:w="80" w:type="dxa"/>
            <w:tcBorders/>
            <w:shd w:fill="FFFFFF" w:val="clear"/>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ind w:left="0" w:right="0" w:hanging="0"/>
              <w:jc w:val="left"/>
              <w:rPr/>
            </w:pPr>
            <w:r>
              <w:rPr/>
              <w:t> </w:t>
            </w:r>
          </w:p>
        </w:tc>
        <w:tc>
          <w:tcPr>
            <w:tcW w:w="15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5,191</w:t>
            </w:r>
          </w:p>
        </w:tc>
        <w:tc>
          <w:tcPr>
            <w:tcW w:w="80" w:type="dxa"/>
            <w:tcBorders/>
            <w:shd w:fill="CCEEFF" w:val="clear"/>
            <w:vAlign w:val="center"/>
          </w:tcPr>
          <w:p>
            <w:pPr>
              <w:pStyle w:val="TableContents"/>
              <w:bidi w:val="0"/>
              <w:spacing w:before="0" w:after="283"/>
              <w:jc w:val="left"/>
              <w:rPr/>
            </w:pPr>
            <w:r>
              <w:rPr/>
              <w:t> </w:t>
            </w:r>
          </w:p>
        </w:tc>
      </w:tr>
      <w:tr>
        <w:trPr/>
        <w:tc>
          <w:tcPr>
            <w:tcW w:w="4160"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ind w:left="0" w:right="0" w:hanging="0"/>
              <w:jc w:val="left"/>
              <w:rPr/>
            </w:pPr>
            <w:r>
              <w:rPr/>
              <w:t> </w:t>
            </w:r>
          </w:p>
        </w:tc>
        <w:tc>
          <w:tcPr>
            <w:tcW w:w="15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3,040</w:t>
            </w:r>
          </w:p>
        </w:tc>
        <w:tc>
          <w:tcPr>
            <w:tcW w:w="80" w:type="dxa"/>
            <w:tcBorders/>
            <w:shd w:fill="FFFFFF" w:val="clear"/>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2030</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ind w:left="0" w:right="0" w:hanging="0"/>
              <w:jc w:val="left"/>
              <w:rPr/>
            </w:pPr>
            <w:r>
              <w:rPr/>
              <w:t> </w:t>
            </w:r>
          </w:p>
        </w:tc>
        <w:tc>
          <w:tcPr>
            <w:tcW w:w="15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2,683</w:t>
            </w:r>
          </w:p>
        </w:tc>
        <w:tc>
          <w:tcPr>
            <w:tcW w:w="80" w:type="dxa"/>
            <w:tcBorders/>
            <w:shd w:fill="CCEEFF" w:val="clear"/>
            <w:vAlign w:val="center"/>
          </w:tcPr>
          <w:p>
            <w:pPr>
              <w:pStyle w:val="TableContents"/>
              <w:bidi w:val="0"/>
              <w:spacing w:before="0" w:after="283"/>
              <w:jc w:val="left"/>
              <w:rPr/>
            </w:pPr>
            <w:r>
              <w:rPr/>
              <w:t> </w:t>
            </w:r>
          </w:p>
        </w:tc>
      </w:tr>
      <w:tr>
        <w:trPr/>
        <w:tc>
          <w:tcPr>
            <w:tcW w:w="4160"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Thereafter</w:t>
            </w:r>
          </w:p>
        </w:tc>
        <w:tc>
          <w:tcPr>
            <w:tcW w:w="60" w:type="dxa"/>
            <w:tcBorders/>
            <w:shd w:fill="FFFFFF" w:val="clear"/>
            <w:vAlign w:val="center"/>
          </w:tcPr>
          <w:p>
            <w:pPr>
              <w:pStyle w:val="TableContents"/>
              <w:bidi w:val="0"/>
              <w:spacing w:before="0" w:after="283"/>
              <w:jc w:val="left"/>
              <w:rPr/>
            </w:pPr>
            <w:r>
              <w:rPr/>
              <w:t> </w:t>
            </w:r>
          </w:p>
        </w:tc>
        <w:tc>
          <w:tcPr>
            <w:tcW w:w="3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6,240</w:t>
            </w:r>
          </w:p>
        </w:tc>
        <w:tc>
          <w:tcPr>
            <w:tcW w:w="80" w:type="dxa"/>
            <w:tcBorders/>
            <w:shd w:fill="FFFFFF" w:val="clear"/>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0"/>
              <w:ind w:left="0" w:right="0" w:firstLine="10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future minimum lease payments</w:t>
            </w:r>
          </w:p>
        </w:tc>
        <w:tc>
          <w:tcPr>
            <w:tcW w:w="60" w:type="dxa"/>
            <w:tcBorders/>
            <w:shd w:fill="CCEEFF" w:val="clear"/>
            <w:vAlign w:val="center"/>
          </w:tcPr>
          <w:p>
            <w:pPr>
              <w:pStyle w:val="TableContents"/>
              <w:bidi w:val="0"/>
              <w:spacing w:before="0" w:after="283"/>
              <w:ind w:left="0" w:right="0" w:hanging="0"/>
              <w:jc w:val="left"/>
              <w:rPr/>
            </w:pPr>
            <w:r>
              <w:rPr/>
              <w:t> </w:t>
            </w:r>
          </w:p>
        </w:tc>
        <w:tc>
          <w:tcPr>
            <w:tcW w:w="3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25,861</w:t>
            </w:r>
          </w:p>
        </w:tc>
        <w:tc>
          <w:tcPr>
            <w:tcW w:w="80" w:type="dxa"/>
            <w:tcBorders/>
            <w:shd w:fill="CCEEFF" w:val="clear"/>
            <w:vAlign w:val="center"/>
          </w:tcPr>
          <w:p>
            <w:pPr>
              <w:pStyle w:val="TableContents"/>
              <w:bidi w:val="0"/>
              <w:spacing w:before="0" w:after="283"/>
              <w:jc w:val="left"/>
              <w:rPr/>
            </w:pPr>
            <w:r>
              <w:rPr/>
              <w:t> </w:t>
            </w:r>
          </w:p>
        </w:tc>
      </w:tr>
      <w:tr>
        <w:trPr/>
        <w:tc>
          <w:tcPr>
            <w:tcW w:w="4160" w:type="dxa"/>
            <w:tcBorders/>
            <w:shd w:fill="FFFF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Less amount of payment representing interest</w:t>
            </w:r>
          </w:p>
        </w:tc>
        <w:tc>
          <w:tcPr>
            <w:tcW w:w="60" w:type="dxa"/>
            <w:tcBorders/>
            <w:shd w:fill="FFFFFF" w:val="clear"/>
            <w:vAlign w:val="center"/>
          </w:tcPr>
          <w:p>
            <w:pPr>
              <w:pStyle w:val="TableContents"/>
              <w:bidi w:val="0"/>
              <w:spacing w:before="0" w:after="283"/>
              <w:jc w:val="left"/>
              <w:rPr/>
            </w:pPr>
            <w:r>
              <w:rPr/>
              <w:t> </w:t>
            </w:r>
          </w:p>
        </w:tc>
        <w:tc>
          <w:tcPr>
            <w:tcW w:w="31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5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60" w:type="dxa"/>
            <w:tcBorders/>
            <w:shd w:fill="CCEE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Total present value of lease payments</w:t>
            </w:r>
          </w:p>
        </w:tc>
        <w:tc>
          <w:tcPr>
            <w:tcW w:w="60" w:type="dxa"/>
            <w:tcBorders/>
            <w:shd w:fill="CCEEFF" w:val="clear"/>
            <w:vAlign w:val="center"/>
          </w:tcPr>
          <w:p>
            <w:pPr>
              <w:pStyle w:val="TableContents"/>
              <w:bidi w:val="0"/>
              <w:spacing w:before="0" w:after="283"/>
              <w:jc w:val="left"/>
              <w:rPr/>
            </w:pPr>
            <w:r>
              <w:rPr/>
              <w:t> </w:t>
            </w:r>
          </w:p>
        </w:tc>
        <w:tc>
          <w:tcPr>
            <w:tcW w:w="31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50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23,836</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minimum rent payments shown above are given for the existing lease obligation and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 forecast of future rental expense. Total rental expense, recognized on a straight-line basis, was $1.5 million, $1.5 million, and $1.5 million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March 31,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June 30, 2025</w:t>
      </w:r>
      <w:r>
        <w:rPr>
          <w:rFonts w:ascii="Times New Roman" w:hAnsi="Times New Roman"/>
          <w:caps w:val="false"/>
          <w:smallCaps w:val="false"/>
          <w:sz w:val="20"/>
        </w:rPr>
        <w:t xml:space="preserve">, and $2.9 million for each of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Company received rental income of $164,000, $157,000, and $158,000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March 31,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June 30, 2025</w:t>
      </w:r>
      <w:r>
        <w:rPr>
          <w:rFonts w:ascii="Times New Roman" w:hAnsi="Times New Roman"/>
          <w:caps w:val="false"/>
          <w:smallCaps w:val="false"/>
          <w:sz w:val="20"/>
        </w:rPr>
        <w:t>, a</w:t>
      </w:r>
      <w:r>
        <w:rPr>
          <w:rFonts w:ascii="Times New Roman" w:hAnsi="Times New Roman"/>
          <w:caps w:val="false"/>
          <w:smallCaps w:val="false"/>
          <w:sz w:val="20"/>
          <w:shd w:fill="FFFFFF" w:val="clear"/>
        </w:rPr>
        <w:t xml:space="preserve">nd </w:t>
      </w:r>
      <w:r>
        <w:rPr>
          <w:rFonts w:ascii="Times New Roman" w:hAnsi="Times New Roman"/>
          <w:caps w:val="false"/>
          <w:smallCaps w:val="false"/>
          <w:sz w:val="20"/>
        </w:rPr>
        <w:t xml:space="preserve">$321,000 and $316,000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following table presents the right-of-use (“ROU”) assets and lease liabilities recorded on our consolidated balance sheet, the weighted-average remaining lease terms and discount rates, as of the dates indicated</w:t>
      </w:r>
      <w:r>
        <w:rPr>
          <w:rFonts w:ascii="Times New Roman" w:hAnsi="Times New Roman"/>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383" w:type="dxa"/>
        <w:jc w:val="left"/>
        <w:tblInd w:w="0" w:type="dxa"/>
        <w:tblLayout w:type="fixed"/>
        <w:tblCellMar>
          <w:top w:w="0" w:type="dxa"/>
          <w:left w:w="0" w:type="dxa"/>
          <w:bottom w:w="0" w:type="dxa"/>
          <w:right w:w="0" w:type="dxa"/>
        </w:tblCellMar>
      </w:tblPr>
      <w:tblGrid>
        <w:gridCol w:w="4025"/>
        <w:gridCol w:w="60"/>
        <w:gridCol w:w="126"/>
        <w:gridCol w:w="598"/>
        <w:gridCol w:w="185"/>
        <w:gridCol w:w="60"/>
        <w:gridCol w:w="199"/>
        <w:gridCol w:w="945"/>
        <w:gridCol w:w="185"/>
      </w:tblGrid>
      <w:tr>
        <w:trPr/>
        <w:tc>
          <w:tcPr>
            <w:tcW w:w="40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185" w:type="dxa"/>
            <w:tcBorders/>
            <w:shd w:fill="FFFFFF" w:val="clear"/>
            <w:vAlign w:val="center"/>
          </w:tcPr>
          <w:p>
            <w:pPr>
              <w:pStyle w:val="TableContents"/>
              <w:bidi w:val="0"/>
              <w:spacing w:before="0" w:after="283"/>
              <w:ind w:left="0" w:right="0" w:hanging="0"/>
              <w:jc w:val="left"/>
              <w:rPr/>
            </w:pPr>
            <w:r>
              <w:rPr/>
              <w:t> </w:t>
            </w:r>
          </w:p>
        </w:tc>
      </w:tr>
      <w:tr>
        <w:trPr/>
        <w:tc>
          <w:tcPr>
            <w:tcW w:w="402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2026</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2025</w:t>
            </w:r>
          </w:p>
        </w:tc>
        <w:tc>
          <w:tcPr>
            <w:tcW w:w="185" w:type="dxa"/>
            <w:tcBorders/>
            <w:shd w:fill="FFFFFF" w:val="clear"/>
            <w:vAlign w:val="center"/>
          </w:tcPr>
          <w:p>
            <w:pPr>
              <w:pStyle w:val="TableContents"/>
              <w:bidi w:val="0"/>
              <w:spacing w:before="0" w:after="0"/>
              <w:jc w:val="left"/>
              <w:rPr/>
            </w:pPr>
            <w:r>
              <w:rPr/>
              <w:t> </w:t>
            </w:r>
          </w:p>
        </w:tc>
      </w:tr>
      <w:tr>
        <w:trPr/>
        <w:tc>
          <w:tcPr>
            <w:tcW w:w="40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Leases</w:t>
            </w:r>
          </w:p>
        </w:tc>
        <w:tc>
          <w:tcPr>
            <w:tcW w:w="60" w:type="dxa"/>
            <w:tcBorders/>
            <w:shd w:fill="FFFFFF" w:val="clear"/>
            <w:vAlign w:val="center"/>
          </w:tcPr>
          <w:p>
            <w:pPr>
              <w:pStyle w:val="TableContents"/>
              <w:bidi w:val="0"/>
              <w:spacing w:before="0" w:after="283"/>
              <w:ind w:left="0" w:right="0" w:hanging="0"/>
              <w:jc w:val="left"/>
              <w:rPr/>
            </w:pPr>
            <w:r>
              <w:rPr/>
              <w:t> </w:t>
            </w:r>
          </w:p>
        </w:tc>
        <w:tc>
          <w:tcPr>
            <w:tcW w:w="2113"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i/>
                <w:caps w:val="false"/>
                <w:smallCaps w:val="false"/>
                <w:sz w:val="20"/>
              </w:rPr>
              <w:t>(dollars in thousands)</w:t>
            </w:r>
          </w:p>
        </w:tc>
        <w:tc>
          <w:tcPr>
            <w:tcW w:w="185"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ROU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22,068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23,026</w:t>
            </w:r>
          </w:p>
        </w:tc>
        <w:tc>
          <w:tcPr>
            <w:tcW w:w="185"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liabilities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23,836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9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24,800</w:t>
            </w:r>
          </w:p>
        </w:tc>
        <w:tc>
          <w:tcPr>
            <w:tcW w:w="185"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remaining lease term (in years)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9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5.96</w:t>
            </w:r>
          </w:p>
        </w:tc>
        <w:tc>
          <w:tcPr>
            <w:tcW w:w="185"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discount rate</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9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83"/>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15</w:t>
      </w:r>
      <w:r>
        <w:rPr>
          <w:rFonts w:ascii="Times New Roman" w:hAnsi="Times New Roman"/>
          <w:b/>
          <w:caps w:val="false"/>
          <w:smallCaps w:val="false"/>
          <w:sz w:val="20"/>
        </w:rPr>
        <w:t xml:space="preserve"> -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There were no loans or outstanding loan commitments to any principal officers or directors, or any of their affiliates at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160" w:right="0" w:firstLine="360"/>
        <w:jc w:val="both"/>
        <w:rPr/>
      </w:pPr>
      <w:r>
        <w:rPr>
          <w:rFonts w:ascii="Times New Roman" w:hAnsi="Times New Roman"/>
          <w:caps w:val="false"/>
          <w:smallCaps w:val="false"/>
          <w:sz w:val="20"/>
        </w:rPr>
        <w:t xml:space="preserve">Deposits from principal officers, directors, and their affiliates at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were $64.2 million and $73.0 million.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160" w:right="0" w:firstLine="360"/>
        <w:jc w:val="both"/>
        <w:rPr/>
      </w:pPr>
      <w:r>
        <w:rPr>
          <w:rFonts w:ascii="Times New Roman" w:hAnsi="Times New Roman"/>
          <w:caps w:val="false"/>
          <w:smallCaps w:val="false"/>
          <w:sz w:val="20"/>
        </w:rPr>
        <w:t xml:space="preserve">Certain directors and their affiliates own $6.0 million of RBB's subordinated debentures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0"/>
        <w:ind w:left="160" w:right="0" w:firstLine="36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16</w:t>
      </w:r>
      <w:r>
        <w:rPr>
          <w:rFonts w:ascii="Times New Roman" w:hAnsi="Times New Roman"/>
          <w:b/>
          <w:caps w:val="false"/>
          <w:smallCaps w:val="false"/>
          <w:sz w:val="20"/>
        </w:rPr>
        <w:t xml:space="preserve"> - STOCK-BASED COMPENSATION </w:t>
      </w:r>
    </w:p>
    <w:p>
      <w:pPr>
        <w:pStyle w:val="TextBody"/>
        <w:bidi w:val="0"/>
        <w:spacing w:before="0" w:after="0"/>
        <w:ind w:left="0" w:right="0" w:hanging="0"/>
        <w:jc w:val="left"/>
        <w:rPr/>
      </w:pPr>
      <w:r>
        <w:rPr/>
        <w:t> </w:t>
      </w:r>
    </w:p>
    <w:p>
      <w:pPr>
        <w:pStyle w:val="TextBody"/>
        <w:bidi w:val="0"/>
        <w:spacing w:before="0" w:after="0"/>
        <w:ind w:left="0" w:right="0" w:firstLine="540"/>
        <w:jc w:val="both"/>
        <w:rPr/>
      </w:pPr>
      <w:r>
        <w:rPr>
          <w:rFonts w:ascii="Times New Roman" w:hAnsi="Times New Roman"/>
          <w:b/>
          <w:caps w:val="false"/>
          <w:smallCaps w:val="false"/>
          <w:sz w:val="20"/>
        </w:rPr>
        <w:t xml:space="preserve">Amended and Restated RBB Bancorp </w:t>
      </w:r>
      <w:r>
        <w:rPr>
          <w:rStyle w:val="Emphasis"/>
          <w:rFonts w:ascii="Times New Roman" w:hAnsi="Times New Roman"/>
          <w:b/>
          <w:caps w:val="false"/>
          <w:smallCaps w:val="false"/>
          <w:sz w:val="20"/>
        </w:rPr>
        <w:t>2017</w:t>
      </w:r>
      <w:r>
        <w:rPr>
          <w:rFonts w:ascii="Times New Roman" w:hAnsi="Times New Roman"/>
          <w:b/>
          <w:caps w:val="false"/>
          <w:smallCaps w:val="false"/>
          <w:sz w:val="20"/>
        </w:rPr>
        <w:t xml:space="preserve"> Omnibus Stock Incentive Plan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Amended and Restated RBB Bancorp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Omnibus Stock Incentive Plan (the "Amended OSIP") was approved by our board of directors in </w:t>
      </w:r>
      <w:r>
        <w:rPr>
          <w:rStyle w:val="Emphasis"/>
          <w:rFonts w:ascii="Times New Roman" w:hAnsi="Times New Roman"/>
          <w:caps w:val="false"/>
          <w:smallCaps w:val="false"/>
          <w:sz w:val="20"/>
        </w:rPr>
        <w:t xml:space="preserve">January 2022 </w:t>
      </w:r>
      <w:r>
        <w:rPr>
          <w:rFonts w:ascii="Times New Roman" w:hAnsi="Times New Roman"/>
          <w:caps w:val="false"/>
          <w:smallCaps w:val="false"/>
          <w:sz w:val="20"/>
        </w:rPr>
        <w:t xml:space="preserve">and approved by our shareholders in </w:t>
      </w:r>
      <w:r>
        <w:rPr>
          <w:rStyle w:val="Emphasis"/>
          <w:rFonts w:ascii="Times New Roman" w:hAnsi="Times New Roman"/>
          <w:caps w:val="false"/>
          <w:smallCaps w:val="false"/>
          <w:sz w:val="20"/>
        </w:rPr>
        <w:t xml:space="preserve">May 2022. </w:t>
      </w:r>
      <w:r>
        <w:rPr>
          <w:rFonts w:ascii="Times New Roman" w:hAnsi="Times New Roman"/>
          <w:caps w:val="false"/>
          <w:smallCaps w:val="false"/>
          <w:sz w:val="20"/>
        </w:rPr>
        <w:t xml:space="preserve">The Amended OSIP was designed to ensure continued availability of equity awards that will assist us in attracting and retaining competent managerial personnel and rewarding key employees, directors and other service providers for high levels of performance. Pursuant to the Amended OSIP, our board of directors are allowed to grant awards to eligible persons, including employees and directors, in the form of qualified and nonqualified stock options, restricted stock, restricted stock units, stock appreciation rights and other incentive awards. We reserved up to 30% of issued and outstanding shares of common stock as of the date we adopted the Amended OSIP, or 3,848,341 shares. As of </w:t>
      </w:r>
      <w:r>
        <w:rPr>
          <w:rStyle w:val="Emphasis"/>
          <w:rFonts w:ascii="Times New Roman" w:hAnsi="Times New Roman"/>
          <w:caps w:val="false"/>
          <w:smallCaps w:val="false"/>
          <w:sz w:val="20"/>
        </w:rPr>
        <w:t>June 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there were 785,487 shares of common stock available for issuance under the Amended OSIP. This represents 4.6% of the issued and outstanding shares of the Company’s common stock as of </w:t>
      </w:r>
      <w:r>
        <w:rPr>
          <w:rStyle w:val="Emphasis"/>
          <w:rFonts w:ascii="Times New Roman" w:hAnsi="Times New Roman"/>
          <w:caps w:val="false"/>
          <w:smallCaps w:val="false"/>
          <w:sz w:val="20"/>
        </w:rPr>
        <w:t>June 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Awards vest, become exercisable and contain such other terms and conditions as determined by the board of directors and set forth in individual agreements with the eligible persons receiving the awards. The Amended OSIP enables the board of directors to set specific performance criteria that must be met before an award vests. The Amended OSIP allows for acceleration of vesting and exercise privileges of grants if a participant’s termination of employment is due to a change in control, death or total disability. If a participant’s job is terminated for cause, then all awards expire at the date of termination.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i/>
          <w:caps w:val="false"/>
          <w:smallCaps w:val="false"/>
          <w:sz w:val="20"/>
        </w:rPr>
      </w:pPr>
      <w:r>
        <w:rPr>
          <w:rFonts w:ascii="Times New Roman" w:hAnsi="Times New Roman"/>
          <w:i/>
          <w:caps w:val="false"/>
          <w:smallCaps w:val="false"/>
          <w:sz w:val="20"/>
        </w:rPr>
        <w:t>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Compensation expense for stock options was $9,000, $9,000, and $12,000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March 31,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June 30, 2025</w:t>
      </w:r>
      <w:r>
        <w:rPr>
          <w:rFonts w:ascii="Times New Roman" w:hAnsi="Times New Roman"/>
          <w:caps w:val="false"/>
          <w:smallCaps w:val="false"/>
          <w:sz w:val="20"/>
        </w:rPr>
        <w:t xml:space="preserve">, and $18,000 and $26,000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Unrecognized stock-based compensation expense related to stock options was </w:t>
      </w:r>
      <w:r>
        <w:rPr>
          <w:rFonts w:ascii="Times New Roman" w:hAnsi="Times New Roman"/>
          <w:caps w:val="false"/>
          <w:smallCaps w:val="false"/>
          <w:sz w:val="20"/>
          <w:shd w:fill="FFFFFF" w:val="clear"/>
        </w:rPr>
        <w:t>$54,000</w:t>
      </w:r>
      <w:r>
        <w:rPr>
          <w:rFonts w:ascii="Times New Roman" w:hAnsi="Times New Roman"/>
          <w:caps w:val="false"/>
          <w:smallCaps w:val="false"/>
          <w:sz w:val="20"/>
        </w:rPr>
        <w:t xml:space="preserve">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and is expected to be recognized over the next 1</w:t>
      </w:r>
      <w:r>
        <w:rPr>
          <w:rStyle w:val="Emphasis"/>
          <w:rFonts w:ascii="Times New Roman" w:hAnsi="Times New Roman"/>
          <w:caps w:val="false"/>
          <w:smallCaps w:val="false"/>
          <w:sz w:val="20"/>
          <w:shd w:fill="FFFFFF" w:val="clear"/>
        </w:rPr>
        <w:t>.1</w:t>
      </w:r>
      <w:r>
        <w:rPr>
          <w:rFonts w:ascii="Times New Roman" w:hAnsi="Times New Roman"/>
          <w:caps w:val="false"/>
          <w:smallCaps w:val="false"/>
          <w:sz w:val="20"/>
          <w:shd w:fill="FFFFFF" w:val="clear"/>
        </w:rPr>
        <w:t> years.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fair value of each option grant was estimated on the date of grant using the Black-Scholes option pricing model. Assumptions in the model include expected volatility, expected term, expected dividends and a risk-free rate of return. The expected volatility is based on the historical volatility of our stock trading history. The expected term is based on historical data and represents the estimated average period of time that the options remain outstanding. The risk-free rate of return reflects the grant date interest rate offered for </w:t>
      </w:r>
      <w:r>
        <w:rPr>
          <w:rStyle w:val="Emphasis"/>
          <w:rFonts w:ascii="Times New Roman" w:hAnsi="Times New Roman"/>
          <w:caps w:val="false"/>
          <w:smallCaps w:val="false"/>
          <w:sz w:val="20"/>
        </w:rPr>
        <w:t>zero</w:t>
      </w:r>
      <w:r>
        <w:rPr>
          <w:rFonts w:ascii="Times New Roman" w:hAnsi="Times New Roman"/>
          <w:caps w:val="false"/>
          <w:smallCaps w:val="false"/>
          <w:sz w:val="20"/>
        </w:rPr>
        <w:t xml:space="preserve"> coupon U.S. Treasury bonds over the expected term of the options.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stock options have been granted or valued since </w:t>
      </w:r>
      <w:r>
        <w:rPr>
          <w:rStyle w:val="Emphasis"/>
          <w:rFonts w:ascii="Times New Roman" w:hAnsi="Times New Roman"/>
          <w:caps w:val="false"/>
          <w:smallCaps w:val="false"/>
          <w:sz w:val="20"/>
        </w:rPr>
        <w:t xml:space="preserve"> March 31, 2023.</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table below presents a summary of our stock options awards and activity as of and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31"/>
        <w:gridCol w:w="60"/>
        <w:gridCol w:w="107"/>
        <w:gridCol w:w="1262"/>
        <w:gridCol w:w="80"/>
        <w:gridCol w:w="60"/>
        <w:gridCol w:w="441"/>
        <w:gridCol w:w="1720"/>
        <w:gridCol w:w="60"/>
        <w:gridCol w:w="60"/>
        <w:gridCol w:w="383"/>
        <w:gridCol w:w="2448"/>
        <w:gridCol w:w="60"/>
        <w:gridCol w:w="60"/>
        <w:gridCol w:w="408"/>
        <w:gridCol w:w="1100"/>
        <w:gridCol w:w="65"/>
      </w:tblGrid>
      <w:tr>
        <w:trPr/>
        <w:tc>
          <w:tcPr>
            <w:tcW w:w="1831"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Outstanding Options</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16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Weighted-Average Exercise Price</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83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Weighted- Average Remaining Contractual Term in years</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0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Aggregate Intrinsic Value</w:t>
            </w:r>
          </w:p>
        </w:tc>
        <w:tc>
          <w:tcPr>
            <w:tcW w:w="65" w:type="dxa"/>
            <w:tcBorders/>
            <w:shd w:fill="FFFFFF" w:val="clear"/>
            <w:vAlign w:val="center"/>
          </w:tcPr>
          <w:p>
            <w:pPr>
              <w:pStyle w:val="TableContents"/>
              <w:bidi w:val="0"/>
              <w:spacing w:before="0" w:after="0"/>
              <w:jc w:val="left"/>
              <w:rPr/>
            </w:pPr>
            <w:r>
              <w:rPr/>
              <w:t> </w:t>
            </w:r>
          </w:p>
        </w:tc>
      </w:tr>
      <w:tr>
        <w:trPr/>
        <w:tc>
          <w:tcPr>
            <w:tcW w:w="18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49"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(dollars in thousands, except for per share data)</w:t>
            </w:r>
          </w:p>
        </w:tc>
        <w:tc>
          <w:tcPr>
            <w:tcW w:w="65" w:type="dxa"/>
            <w:tcBorders/>
            <w:shd w:fill="FFFFFF" w:val="clear"/>
            <w:vAlign w:val="center"/>
          </w:tcPr>
          <w:p>
            <w:pPr>
              <w:pStyle w:val="TableContents"/>
              <w:bidi w:val="0"/>
              <w:spacing w:before="0" w:after="283"/>
              <w:jc w:val="left"/>
              <w:rPr/>
            </w:pPr>
            <w:r>
              <w:rPr/>
              <w:t> </w:t>
            </w:r>
          </w:p>
        </w:tc>
      </w:tr>
      <w:tr>
        <w:trPr/>
        <w:tc>
          <w:tcPr>
            <w:tcW w:w="183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beginning of year</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ind w:left="0" w:right="0" w:hanging="0"/>
              <w:jc w:val="left"/>
              <w:rPr/>
            </w:pPr>
            <w:r>
              <w:rPr/>
              <w:t> </w:t>
            </w:r>
          </w:p>
        </w:tc>
        <w:tc>
          <w:tcPr>
            <w:tcW w:w="12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3" w:type="dxa"/>
            <w:tcBorders/>
            <w:shd w:fill="CCEEFF" w:val="clear"/>
            <w:vAlign w:val="center"/>
          </w:tcPr>
          <w:p>
            <w:pPr>
              <w:pStyle w:val="TableContents"/>
              <w:bidi w:val="0"/>
              <w:spacing w:before="0" w:after="283"/>
              <w:jc w:val="left"/>
              <w:rPr/>
            </w:pPr>
            <w:r>
              <w:rPr/>
              <w:t> </w:t>
            </w:r>
          </w:p>
        </w:tc>
        <w:tc>
          <w:tcPr>
            <w:tcW w:w="2448"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8"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rStyle w:val="Emphasis"/>
              </w:rPr>
              <w:t> </w:t>
            </w:r>
          </w:p>
        </w:tc>
        <w:tc>
          <w:tcPr>
            <w:tcW w:w="65" w:type="dxa"/>
            <w:tcBorders/>
            <w:shd w:fill="CCEEFF" w:val="clear"/>
            <w:vAlign w:val="center"/>
          </w:tcPr>
          <w:p>
            <w:pPr>
              <w:pStyle w:val="TableContents"/>
              <w:bidi w:val="0"/>
              <w:spacing w:before="0" w:after="283"/>
              <w:jc w:val="left"/>
              <w:rPr/>
            </w:pPr>
            <w:r>
              <w:rPr/>
              <w:t> </w:t>
            </w:r>
          </w:p>
        </w:tc>
      </w:tr>
      <w:tr>
        <w:trPr/>
        <w:tc>
          <w:tcPr>
            <w:tcW w:w="183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26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(56,500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left"/>
              <w:rPr/>
            </w:pPr>
            <w:r>
              <w:rPr/>
              <w:t> </w:t>
            </w:r>
          </w:p>
        </w:tc>
        <w:tc>
          <w:tcPr>
            <w:tcW w:w="17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jc w:val="left"/>
              <w:rPr/>
            </w:pPr>
            <w:r>
              <w:rPr/>
              <w:t> </w:t>
            </w:r>
          </w:p>
        </w:tc>
        <w:tc>
          <w:tcPr>
            <w:tcW w:w="2448"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rStyle w:val="Emphasis"/>
              </w:rPr>
              <w:t> </w:t>
            </w:r>
          </w:p>
        </w:tc>
        <w:tc>
          <w:tcPr>
            <w:tcW w:w="65" w:type="dxa"/>
            <w:tcBorders/>
            <w:shd w:fill="FFFFFF" w:val="clear"/>
            <w:vAlign w:val="center"/>
          </w:tcPr>
          <w:p>
            <w:pPr>
              <w:pStyle w:val="TableContents"/>
              <w:bidi w:val="0"/>
              <w:spacing w:before="0" w:after="283"/>
              <w:jc w:val="left"/>
              <w:rPr/>
            </w:pPr>
            <w:r>
              <w:rPr/>
              <w:t> </w:t>
            </w:r>
          </w:p>
        </w:tc>
      </w:tr>
      <w:tr>
        <w:trPr/>
        <w:tc>
          <w:tcPr>
            <w:tcW w:w="18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Forfeited/cancelled</w:t>
            </w:r>
          </w:p>
        </w:tc>
        <w:tc>
          <w:tcPr>
            <w:tcW w:w="60" w:type="dxa"/>
            <w:tcBorders/>
            <w:shd w:fill="CCEEFF" w:val="clear"/>
            <w:vAlign w:val="center"/>
          </w:tcPr>
          <w:p>
            <w:pPr>
              <w:pStyle w:val="TableContents"/>
              <w:bidi w:val="0"/>
              <w:spacing w:before="0" w:after="283"/>
              <w:ind w:left="0" w:right="0" w:hanging="0"/>
              <w:jc w:val="left"/>
              <w:rPr/>
            </w:pPr>
            <w:r>
              <w:rPr/>
              <w:t> </w:t>
            </w:r>
          </w:p>
        </w:tc>
        <w:tc>
          <w:tcPr>
            <w:tcW w:w="1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62"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4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720"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2448" w:type="dxa"/>
            <w:tcBorders>
              <w:bottom w:val="single" w:sz="2" w:space="0" w:color="000000"/>
            </w:tcBorders>
            <w:shd w:fill="CCEEFF" w:val="clear"/>
            <w:tcMar>
              <w:bottom w:w="28" w:type="dxa"/>
            </w:tcMar>
            <w:vAlign w:val="center"/>
          </w:tcPr>
          <w:p>
            <w:pPr>
              <w:pStyle w:val="TableContents"/>
              <w:bidi w:val="0"/>
              <w:spacing w:before="0" w:after="0"/>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00" w:type="dxa"/>
            <w:tcBorders>
              <w:bottom w:val="single" w:sz="2" w:space="0" w:color="000000"/>
            </w:tcBorders>
            <w:shd w:fill="CCEEFF" w:val="clear"/>
            <w:tcMar>
              <w:bottom w:w="28" w:type="dxa"/>
            </w:tcMar>
            <w:vAlign w:val="center"/>
          </w:tcPr>
          <w:p>
            <w:pPr>
              <w:pStyle w:val="TableContents"/>
              <w:bidi w:val="0"/>
              <w:spacing w:before="0" w:after="0"/>
              <w:jc w:val="right"/>
              <w:rPr/>
            </w:pPr>
            <w:r>
              <w:rPr>
                <w:rStyle w:val="Emphasis"/>
              </w:rPr>
              <w:t> </w:t>
            </w:r>
          </w:p>
        </w:tc>
        <w:tc>
          <w:tcPr>
            <w:tcW w:w="65" w:type="dxa"/>
            <w:tcBorders/>
            <w:shd w:fill="CCEEFF" w:val="clear"/>
            <w:vAlign w:val="center"/>
          </w:tcPr>
          <w:p>
            <w:pPr>
              <w:pStyle w:val="TableContents"/>
              <w:bidi w:val="0"/>
              <w:spacing w:before="0" w:after="283"/>
              <w:jc w:val="left"/>
              <w:rPr/>
            </w:pPr>
            <w:r>
              <w:rPr/>
              <w:t> </w:t>
            </w:r>
          </w:p>
        </w:tc>
      </w:tr>
      <w:tr>
        <w:trPr/>
        <w:tc>
          <w:tcPr>
            <w:tcW w:w="183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end of period</w:t>
            </w:r>
          </w:p>
        </w:tc>
        <w:tc>
          <w:tcPr>
            <w:tcW w:w="60" w:type="dxa"/>
            <w:tcBorders/>
            <w:shd w:fill="FFFFFF" w:val="clear"/>
            <w:vAlign w:val="center"/>
          </w:tcPr>
          <w:p>
            <w:pPr>
              <w:pStyle w:val="TableContents"/>
              <w:bidi w:val="0"/>
              <w:spacing w:before="0" w:after="283"/>
              <w:jc w:val="left"/>
              <w:rPr/>
            </w:pPr>
            <w:r>
              <w:rPr/>
              <w:t> </w:t>
            </w:r>
          </w:p>
        </w:tc>
        <w:tc>
          <w:tcPr>
            <w:tcW w:w="10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6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4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833</w:t>
            </w:r>
          </w:p>
        </w:tc>
        <w:tc>
          <w:tcPr>
            <w:tcW w:w="65" w:type="dxa"/>
            <w:tcBorders/>
            <w:shd w:fill="FFFFFF" w:val="clear"/>
            <w:vAlign w:val="center"/>
          </w:tcPr>
          <w:p>
            <w:pPr>
              <w:pStyle w:val="TableContents"/>
              <w:bidi w:val="0"/>
              <w:spacing w:before="0" w:after="283"/>
              <w:jc w:val="left"/>
              <w:rPr/>
            </w:pPr>
            <w:r>
              <w:rPr/>
              <w:t> </w:t>
            </w:r>
          </w:p>
        </w:tc>
      </w:tr>
      <w:tr>
        <w:trPr/>
        <w:tc>
          <w:tcPr>
            <w:tcW w:w="18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26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1" w:type="dxa"/>
            <w:tcBorders/>
            <w:shd w:fill="CCEEFF" w:val="clear"/>
            <w:vAlign w:val="center"/>
          </w:tcPr>
          <w:p>
            <w:pPr>
              <w:pStyle w:val="TableContents"/>
              <w:bidi w:val="0"/>
              <w:spacing w:before="0" w:after="283"/>
              <w:jc w:val="left"/>
              <w:rPr/>
            </w:pPr>
            <w:r>
              <w:rPr/>
              <w:t> </w:t>
            </w:r>
          </w:p>
        </w:tc>
        <w:tc>
          <w:tcPr>
            <w:tcW w:w="17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3" w:type="dxa"/>
            <w:tcBorders/>
            <w:shd w:fill="CCEEFF" w:val="clear"/>
            <w:vAlign w:val="center"/>
          </w:tcPr>
          <w:p>
            <w:pPr>
              <w:pStyle w:val="TableContents"/>
              <w:bidi w:val="0"/>
              <w:spacing w:before="0" w:after="283"/>
              <w:jc w:val="left"/>
              <w:rPr/>
            </w:pPr>
            <w:r>
              <w:rPr/>
              <w:t> </w:t>
            </w:r>
          </w:p>
        </w:tc>
        <w:tc>
          <w:tcPr>
            <w:tcW w:w="244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8"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r>
      <w:tr>
        <w:trPr/>
        <w:tc>
          <w:tcPr>
            <w:tcW w:w="183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exercisable</w:t>
            </w:r>
          </w:p>
        </w:tc>
        <w:tc>
          <w:tcPr>
            <w:tcW w:w="60" w:type="dxa"/>
            <w:tcBorders/>
            <w:shd w:fill="FFFFFF" w:val="clear"/>
            <w:vAlign w:val="center"/>
          </w:tcPr>
          <w:p>
            <w:pPr>
              <w:pStyle w:val="TableContents"/>
              <w:bidi w:val="0"/>
              <w:spacing w:before="0" w:after="283"/>
              <w:jc w:val="left"/>
              <w:rPr/>
            </w:pPr>
            <w:r>
              <w:rPr/>
              <w:t> </w:t>
            </w:r>
          </w:p>
        </w:tc>
        <w:tc>
          <w:tcPr>
            <w:tcW w:w="10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6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4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758</w:t>
            </w:r>
          </w:p>
        </w:tc>
        <w:tc>
          <w:tcPr>
            <w:tcW w:w="6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The total fair value of the options vested was</w:t>
      </w:r>
      <w:r>
        <w:rPr>
          <w:rFonts w:ascii="Times New Roman" w:hAnsi="Times New Roman"/>
          <w:caps w:val="false"/>
          <w:smallCaps w:val="false"/>
          <w:sz w:val="20"/>
          <w:shd w:fill="FFFFFF" w:val="clear"/>
        </w:rPr>
        <w:t xml:space="preserve"> $0 </w:t>
      </w:r>
      <w:r>
        <w:rPr>
          <w:rFonts w:ascii="Times New Roman" w:hAnsi="Times New Roman"/>
          <w:caps w:val="false"/>
          <w:smallCaps w:val="false"/>
          <w:sz w:val="20"/>
        </w:rPr>
        <w:t xml:space="preserve">and $57,000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Unvested stock options totaled 12</w:t>
      </w:r>
      <w:r>
        <w:rPr>
          <w:rStyle w:val="Emphasis"/>
          <w:rFonts w:ascii="Times New Roman" w:hAnsi="Times New Roman"/>
          <w:caps w:val="false"/>
          <w:smallCaps w:val="false"/>
          <w:sz w:val="20"/>
          <w:shd w:fill="FFFFFF" w:val="clear"/>
        </w:rPr>
        <w:t>,000</w:t>
      </w:r>
      <w:r>
        <w:rPr>
          <w:rFonts w:ascii="Times New Roman" w:hAnsi="Times New Roman"/>
          <w:caps w:val="false"/>
          <w:smallCaps w:val="false"/>
          <w:sz w:val="20"/>
          <w:shd w:fill="FFFFFF" w:val="clear"/>
        </w:rPr>
        <w:t> </w:t>
      </w:r>
      <w:r>
        <w:rPr>
          <w:rFonts w:ascii="Times New Roman" w:hAnsi="Times New Roman"/>
          <w:caps w:val="false"/>
          <w:smallCaps w:val="false"/>
          <w:sz w:val="20"/>
        </w:rPr>
        <w:t xml:space="preserve">with a weighted average grant date fair value of </w:t>
      </w:r>
      <w:r>
        <w:rPr>
          <w:rFonts w:ascii="Times New Roman" w:hAnsi="Times New Roman"/>
          <w:caps w:val="false"/>
          <w:smallCaps w:val="false"/>
          <w:sz w:val="20"/>
          <w:shd w:fill="FFFFFF" w:val="clear"/>
        </w:rPr>
        <w:t>$6.16 </w:t>
      </w: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2026,</w:t>
      </w:r>
      <w:r>
        <w:rPr>
          <w:rFonts w:ascii="Times New Roman" w:hAnsi="Times New Roman"/>
          <w:caps w:val="false"/>
          <w:smallCaps w:val="false"/>
          <w:sz w:val="20"/>
        </w:rPr>
        <w:t> the cash received from the exercise of stock options was $1.0 million with an intrinsic value of $361,000.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the cash received from the exercise of stock options was $171,000 with an intrinsic value </w:t>
      </w:r>
      <w:r>
        <w:rPr>
          <w:rFonts w:ascii="Times New Roman" w:hAnsi="Times New Roman"/>
          <w:caps w:val="false"/>
          <w:smallCaps w:val="false"/>
          <w:sz w:val="20"/>
          <w:shd w:fill="FFFFFF" w:val="clear"/>
        </w:rPr>
        <w:t xml:space="preserve">of </w:t>
      </w:r>
      <w:r>
        <w:rPr>
          <w:rFonts w:ascii="Times New Roman" w:hAnsi="Times New Roman"/>
          <w:caps w:val="false"/>
          <w:smallCaps w:val="false"/>
          <w:sz w:val="20"/>
        </w:rPr>
        <w:t>$1,000. </w:t>
      </w:r>
    </w:p>
    <w:p>
      <w:pPr>
        <w:pStyle w:val="TextBody"/>
        <w:bidi w:val="0"/>
        <w:spacing w:before="0" w:after="0"/>
        <w:ind w:left="30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i/>
          <w:caps w:val="false"/>
          <w:smallCaps w:val="false"/>
          <w:sz w:val="20"/>
        </w:rPr>
      </w:pPr>
      <w:r>
        <w:rPr>
          <w:rFonts w:ascii="Times New Roman" w:hAnsi="Times New Roman"/>
          <w:i/>
          <w:caps w:val="false"/>
          <w:smallCaps w:val="false"/>
          <w:sz w:val="20"/>
        </w:rPr>
        <w:t>Restricted Stock Units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We award time-based restricted stock units (“TRSUs”) and performance-based restricted stock units (“PRSUs”), which we also refer to collectively as restricted stock units (“RSUs”). The PRSUs are subject to pre-established performance metrics, which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also include a market condition, that will be measured in the future and subject to oversight and approval by the Board of Director’s Compensation Committee. The TRSUs have original lives ranging from 1 to 4 years, or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vest immediately, and PRSUs have an original life of 3 years. The RSUs granted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included 10</w:t>
      </w:r>
      <w:r>
        <w:rPr>
          <w:rStyle w:val="Emphasis"/>
          <w:rFonts w:ascii="Times New Roman" w:hAnsi="Times New Roman"/>
          <w:caps w:val="false"/>
          <w:smallCaps w:val="false"/>
          <w:sz w:val="20"/>
          <w:shd w:fill="FFFFFF" w:val="clear"/>
        </w:rPr>
        <w:t>,675</w:t>
      </w:r>
      <w:r>
        <w:rPr>
          <w:rFonts w:ascii="Times New Roman" w:hAnsi="Times New Roman"/>
          <w:caps w:val="false"/>
          <w:smallCaps w:val="false"/>
          <w:sz w:val="20"/>
          <w:shd w:fill="FFFFFF" w:val="clear"/>
        </w:rPr>
        <w:t xml:space="preserve"> PRSUs </w:t>
      </w:r>
      <w:r>
        <w:rPr>
          <w:rFonts w:ascii="Times New Roman" w:hAnsi="Times New Roman"/>
          <w:caps w:val="false"/>
          <w:smallCaps w:val="false"/>
          <w:sz w:val="20"/>
        </w:rPr>
        <w:t>with a performance metric subject to a market condition and grant date fair value per share of</w:t>
      </w:r>
      <w:r>
        <w:rPr>
          <w:rFonts w:ascii="Times New Roman" w:hAnsi="Times New Roman"/>
          <w:caps w:val="false"/>
          <w:smallCaps w:val="false"/>
          <w:sz w:val="20"/>
          <w:shd w:fill="FFFFFF" w:val="clear"/>
        </w:rPr>
        <w:t xml:space="preserve"> $24.08.</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both"/>
        <w:rPr/>
      </w:pPr>
      <w:r>
        <w:rPr>
          <w:rFonts w:ascii="Times New Roman" w:hAnsi="Times New Roman"/>
          <w:caps w:val="false"/>
          <w:smallCaps w:val="false"/>
          <w:sz w:val="20"/>
        </w:rPr>
        <w:t xml:space="preserve">The following table presents RSUs activity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w:t>
      </w:r>
    </w:p>
    <w:p>
      <w:pPr>
        <w:pStyle w:val="TextBody"/>
        <w:bidi w:val="0"/>
        <w:spacing w:before="0" w:after="0"/>
        <w:ind w:left="0" w:right="0" w:firstLine="540"/>
        <w:jc w:val="left"/>
        <w:rPr>
          <w:caps w:val="false"/>
          <w:smallCaps w:val="false"/>
        </w:rPr>
      </w:pPr>
      <w:r>
        <w:rPr>
          <w:caps w:val="false"/>
          <w:smallCaps w:val="false"/>
        </w:rPr>
        <w:t> </w:t>
      </w:r>
    </w:p>
    <w:tbl>
      <w:tblPr>
        <w:tblW w:w="5509" w:type="dxa"/>
        <w:jc w:val="left"/>
        <w:tblInd w:w="0" w:type="dxa"/>
        <w:tblLayout w:type="fixed"/>
        <w:tblCellMar>
          <w:top w:w="0" w:type="dxa"/>
          <w:left w:w="0" w:type="dxa"/>
          <w:bottom w:w="0" w:type="dxa"/>
          <w:right w:w="0" w:type="dxa"/>
        </w:tblCellMar>
      </w:tblPr>
      <w:tblGrid>
        <w:gridCol w:w="2705"/>
        <w:gridCol w:w="60"/>
        <w:gridCol w:w="60"/>
        <w:gridCol w:w="695"/>
        <w:gridCol w:w="80"/>
        <w:gridCol w:w="60"/>
        <w:gridCol w:w="366"/>
        <w:gridCol w:w="1423"/>
        <w:gridCol w:w="60"/>
      </w:tblGrid>
      <w:tr>
        <w:trPr/>
        <w:tc>
          <w:tcPr>
            <w:tcW w:w="27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Weighted-Average</w:t>
            </w:r>
          </w:p>
        </w:tc>
        <w:tc>
          <w:tcPr>
            <w:tcW w:w="60" w:type="dxa"/>
            <w:tcBorders/>
            <w:shd w:fill="FFFF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Grant Date</w:t>
            </w:r>
          </w:p>
        </w:tc>
        <w:tc>
          <w:tcPr>
            <w:tcW w:w="60" w:type="dxa"/>
            <w:tcBorders/>
            <w:shd w:fill="FFFF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RSUs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 Value Per Share</w:t>
            </w:r>
          </w:p>
        </w:tc>
        <w:tc>
          <w:tcPr>
            <w:tcW w:w="60" w:type="dxa"/>
            <w:tcBorders/>
            <w:shd w:fill="FFFFFF" w:val="clear"/>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Outstanding at beginning of year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191,091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6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42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16.66</w:t>
            </w:r>
          </w:p>
        </w:tc>
        <w:tc>
          <w:tcPr>
            <w:tcW w:w="60"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sz w:val="20"/>
              </w:rPr>
            </w:pPr>
            <w:r>
              <w:rPr>
                <w:rFonts w:ascii="Times New Roman;Times;serif" w:hAnsi="Times New Roman;Times;serif"/>
                <w:sz w:val="20"/>
              </w:rPr>
              <w:t>Granted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96,699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c>
          <w:tcPr>
            <w:tcW w:w="142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23.45</w:t>
            </w:r>
          </w:p>
        </w:tc>
        <w:tc>
          <w:tcPr>
            <w:tcW w:w="60" w:type="dxa"/>
            <w:tcBorders/>
            <w:shd w:fill="FFFFFF" w:val="clear"/>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Vested (1)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(70,594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ind w:left="0" w:right="0" w:hanging="0"/>
              <w:jc w:val="left"/>
              <w:rPr/>
            </w:pPr>
            <w:r>
              <w:rPr/>
              <w:t> </w:t>
            </w:r>
          </w:p>
        </w:tc>
        <w:tc>
          <w:tcPr>
            <w:tcW w:w="142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18.73</w:t>
            </w:r>
          </w:p>
        </w:tc>
        <w:tc>
          <w:tcPr>
            <w:tcW w:w="60"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Forfeited/cancelled</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(1,270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6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423"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16.07</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7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215,926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423"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19.03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rFonts w:ascii="Times New Roman" w:hAnsi="Times New Roman"/>
          <w:caps w:val="false"/>
          <w:smallCaps w:val="false"/>
          <w:sz w:val="18"/>
        </w:rPr>
        <w:t>(</w:t>
      </w:r>
      <w:r>
        <w:rPr>
          <w:rStyle w:val="Emphasis"/>
          <w:rFonts w:ascii="Times New Roman" w:hAnsi="Times New Roman"/>
          <w:caps w:val="false"/>
          <w:smallCaps w:val="false"/>
          <w:sz w:val="18"/>
        </w:rPr>
        <w:t>1</w:t>
      </w:r>
      <w:r>
        <w:rPr>
          <w:rFonts w:ascii="Times New Roman" w:hAnsi="Times New Roman"/>
          <w:caps w:val="false"/>
          <w:smallCaps w:val="false"/>
          <w:sz w:val="18"/>
        </w:rPr>
        <w:t>) Includes 15,832 RSUs awarded to members of the Board of Directors, which immediately vested.</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recorded compensation expense for RSUs was $478,000, $268,000, and $537,000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March 31,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June 30, 2025</w:t>
      </w:r>
      <w:r>
        <w:rPr>
          <w:rFonts w:ascii="Times New Roman" w:hAnsi="Times New Roman"/>
          <w:caps w:val="false"/>
          <w:smallCaps w:val="false"/>
          <w:sz w:val="20"/>
        </w:rPr>
        <w:t xml:space="preserve">, and $746,000 and $779,000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unrecognized stock-based compensation expense related to RSUs totaled</w:t>
      </w:r>
      <w:r>
        <w:rPr>
          <w:rFonts w:ascii="Times New Roman" w:hAnsi="Times New Roman"/>
          <w:caps w:val="false"/>
          <w:smallCaps w:val="false"/>
          <w:sz w:val="20"/>
          <w:shd w:fill="FFFFFF" w:val="clear"/>
        </w:rPr>
        <w:t> $3.4 million</w:t>
      </w:r>
      <w:r>
        <w:rPr>
          <w:rFonts w:ascii="Times New Roman" w:hAnsi="Times New Roman"/>
          <w:caps w:val="false"/>
          <w:smallCaps w:val="false"/>
          <w:sz w:val="20"/>
        </w:rPr>
        <w:t> and is expected to be recognized over the next</w:t>
      </w:r>
      <w:r>
        <w:rPr>
          <w:rFonts w:ascii="Times New Roman" w:hAnsi="Times New Roman"/>
          <w:caps w:val="false"/>
          <w:smallCaps w:val="false"/>
          <w:sz w:val="20"/>
          <w:shd w:fill="FFFFFF" w:val="clear"/>
        </w:rPr>
        <w:t> 2.6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17</w:t>
      </w:r>
      <w:r>
        <w:rPr>
          <w:rFonts w:ascii="Times New Roman" w:hAnsi="Times New Roman"/>
          <w:b/>
          <w:caps w:val="false"/>
          <w:smallCaps w:val="false"/>
          <w:sz w:val="20"/>
        </w:rPr>
        <w:t xml:space="preserve"> - REGULATORY MATTERS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Holding companies (with assets over $3 billion at the beginning of the year) and banks are subject to various regulatory capital requirements administered by the federal banking agencies. Failure to meet minimum capital requirements can initiate certain mandatory - and possibly additional discretionary - actions by regulators that, if undertaken, could have a direct material effect on our financial statements.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Final comprehensive regulatory capital rules for U.S. banking organizations pursuant to the capital framework of the Basel Committee on Banking Supervision, generally referred to as “Basel III,” implemented a requirement for all banking organizations to maintain a capital conservation buffer of </w:t>
      </w:r>
      <w:r>
        <w:rPr>
          <w:rStyle w:val="Emphasis"/>
          <w:rFonts w:ascii="Times New Roman" w:hAnsi="Times New Roman"/>
          <w:caps w:val="false"/>
          <w:smallCaps w:val="false"/>
          <w:sz w:val="20"/>
        </w:rPr>
        <w:t>2.5%</w:t>
      </w:r>
      <w:r>
        <w:rPr>
          <w:rFonts w:ascii="Times New Roman" w:hAnsi="Times New Roman"/>
          <w:caps w:val="false"/>
          <w:smallCaps w:val="false"/>
          <w:sz w:val="20"/>
        </w:rPr>
        <w:t xml:space="preserve"> above the minimum risk-based capital requirements. The capital conservation buffer is exclusively comprised of common equity Tier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capital, and it applies to each of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risk-based capital ratios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the leverage ratio. At </w:t>
      </w:r>
      <w:r>
        <w:rPr>
          <w:rStyle w:val="Emphasis"/>
          <w:rFonts w:ascii="Times New Roman" w:hAnsi="Times New Roman"/>
          <w:caps w:val="false"/>
          <w:smallCaps w:val="false"/>
          <w:sz w:val="20"/>
        </w:rPr>
        <w:t>June 30, 2026</w:t>
      </w:r>
      <w:r>
        <w:rPr>
          <w:rFonts w:ascii="Times New Roman" w:hAnsi="Times New Roman"/>
          <w:caps w:val="false"/>
          <w:smallCaps w:val="false"/>
          <w:sz w:val="20"/>
        </w:rPr>
        <w:t>, the Company and the Bank were in compliance with the capital conservation buffer requirements. If the capital adequacy minimum ratios plus the phased-in conservation buffer amount exceed actual risk-weighted capital ratios, then dividends, share buybacks, and discretionary bonuses to executives could be limited in amount.</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Under capital adequacy guidelines and the regulatory framework for prompt corrective action, the Bank must meet specific capital guidelines that involve quantitative measures of the Bank's assets, liabilities, and certain off-balance-sheet items as calculated under regulatory accounting practices. Capital amounts and classification are also subject to qualitative judgments by the regulators about components, risk weightings, and other factors. Quantitative measures established by regulation to ensure capital adequacy require the Bank to maintain minimum amounts and ratios (set forth in the table below) of Total, Tier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CET1</w:t>
      </w:r>
      <w:r>
        <w:rPr>
          <w:rFonts w:ascii="Times New Roman" w:hAnsi="Times New Roman"/>
          <w:caps w:val="false"/>
          <w:smallCaps w:val="false"/>
          <w:sz w:val="20"/>
        </w:rPr>
        <w:t xml:space="preserve"> capital (as defined in the regulations) to risk-weighted assets (as defined), and of Tier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capital (as defined) to average assets (as defined). As permitted by the regulators for financial institutions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deemed to be “advanced approaches” institutions, we have elected to opt out of the Basel III requirement to include accumulated other comprehensive income in risk-based capital. Management believes, at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we satisfied all capital adequacy requirements to which we were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following tables set forth the Company's consolidated and the Bank’s capital amounts and ratios and the related regulatory requirements as of the dates indicated: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11"/>
        <w:gridCol w:w="60"/>
        <w:gridCol w:w="125"/>
        <w:gridCol w:w="695"/>
        <w:gridCol w:w="60"/>
        <w:gridCol w:w="60"/>
        <w:gridCol w:w="60"/>
        <w:gridCol w:w="485"/>
        <w:gridCol w:w="185"/>
        <w:gridCol w:w="60"/>
        <w:gridCol w:w="206"/>
        <w:gridCol w:w="1152"/>
        <w:gridCol w:w="98"/>
        <w:gridCol w:w="98"/>
        <w:gridCol w:w="128"/>
        <w:gridCol w:w="572"/>
        <w:gridCol w:w="185"/>
        <w:gridCol w:w="60"/>
        <w:gridCol w:w="207"/>
        <w:gridCol w:w="1163"/>
        <w:gridCol w:w="99"/>
        <w:gridCol w:w="99"/>
        <w:gridCol w:w="105"/>
        <w:gridCol w:w="638"/>
        <w:gridCol w:w="194"/>
      </w:tblGrid>
      <w:tr>
        <w:trPr/>
        <w:tc>
          <w:tcPr>
            <w:tcW w:w="34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10"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 of Capital Required</w:t>
            </w:r>
          </w:p>
        </w:tc>
        <w:tc>
          <w:tcPr>
            <w:tcW w:w="194" w:type="dxa"/>
            <w:tcBorders/>
            <w:shd w:fill="FFFFFF" w:val="clear"/>
            <w:vAlign w:val="center"/>
          </w:tcPr>
          <w:p>
            <w:pPr>
              <w:pStyle w:val="TableContents"/>
              <w:bidi w:val="0"/>
              <w:spacing w:before="0" w:after="283"/>
              <w:jc w:val="left"/>
              <w:rPr/>
            </w:pPr>
            <w:r>
              <w:rPr/>
              <w:t> </w:t>
            </w:r>
          </w:p>
        </w:tc>
      </w:tr>
      <w:tr>
        <w:trPr/>
        <w:tc>
          <w:tcPr>
            <w:tcW w:w="34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center"/>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572"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11" w:type="dxa"/>
            <w:gridSpan w:val="6"/>
            <w:tcBorders/>
            <w:shd w:fill="FFFFFF" w:val="clear"/>
            <w:vAlign w:val="center"/>
          </w:tcPr>
          <w:p>
            <w:pPr>
              <w:pStyle w:val="TableContents"/>
              <w:bidi w:val="0"/>
              <w:spacing w:before="0" w:after="283"/>
              <w:jc w:val="center"/>
              <w:rPr/>
            </w:pPr>
            <w:r>
              <w:rPr/>
              <w:t> </w:t>
            </w:r>
          </w:p>
        </w:tc>
        <w:tc>
          <w:tcPr>
            <w:tcW w:w="194" w:type="dxa"/>
            <w:tcBorders/>
            <w:shd w:fill="FFFFFF" w:val="clear"/>
            <w:vAlign w:val="center"/>
          </w:tcPr>
          <w:p>
            <w:pPr>
              <w:pStyle w:val="TableContents"/>
              <w:bidi w:val="0"/>
              <w:spacing w:before="0" w:after="283"/>
              <w:jc w:val="left"/>
              <w:rPr/>
            </w:pPr>
            <w:r>
              <w:rPr/>
              <w:t> </w:t>
            </w:r>
          </w:p>
        </w:tc>
      </w:tr>
      <w:tr>
        <w:trPr/>
        <w:tc>
          <w:tcPr>
            <w:tcW w:w="34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54"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Minimum Required for</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11"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 Be Well-Capitalized Under</w:t>
            </w:r>
          </w:p>
        </w:tc>
        <w:tc>
          <w:tcPr>
            <w:tcW w:w="194" w:type="dxa"/>
            <w:tcBorders/>
            <w:shd w:fill="FFFFFF" w:val="clear"/>
            <w:vAlign w:val="center"/>
          </w:tcPr>
          <w:p>
            <w:pPr>
              <w:pStyle w:val="TableContents"/>
              <w:bidi w:val="0"/>
              <w:spacing w:before="0" w:after="283"/>
              <w:jc w:val="left"/>
              <w:rPr/>
            </w:pPr>
            <w:r>
              <w:rPr/>
              <w:t> </w:t>
            </w:r>
          </w:p>
        </w:tc>
      </w:tr>
      <w:tr>
        <w:trPr/>
        <w:tc>
          <w:tcPr>
            <w:tcW w:w="34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Actual</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5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Capital Adequacy Purposes</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1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Prompt Corrective Provisions</w:t>
            </w:r>
          </w:p>
        </w:tc>
        <w:tc>
          <w:tcPr>
            <w:tcW w:w="194" w:type="dxa"/>
            <w:tcBorders/>
            <w:shd w:fill="FFFFFF" w:val="clear"/>
            <w:vAlign w:val="center"/>
          </w:tcPr>
          <w:p>
            <w:pPr>
              <w:pStyle w:val="TableContents"/>
              <w:bidi w:val="0"/>
              <w:spacing w:before="0" w:after="283"/>
              <w:jc w:val="left"/>
              <w:rPr/>
            </w:pPr>
            <w:r>
              <w:rPr/>
              <w:t> </w:t>
            </w:r>
          </w:p>
        </w:tc>
      </w:tr>
      <w:tr>
        <w:trPr/>
        <w:tc>
          <w:tcPr>
            <w:tcW w:w="34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Ratio</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Amount</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700"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b/>
                <w:sz w:val="20"/>
              </w:rPr>
            </w:pPr>
            <w:r>
              <w:rPr>
                <w:rFonts w:ascii="Times New Roman;Times;serif" w:hAnsi="Times New Roman;Times;serif"/>
                <w:b/>
                <w:sz w:val="20"/>
              </w:rPr>
              <w:t>Ratio (1)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Amount</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74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Ratio</w:t>
            </w:r>
          </w:p>
        </w:tc>
        <w:tc>
          <w:tcPr>
            <w:tcW w:w="194" w:type="dxa"/>
            <w:tcBorders/>
            <w:shd w:fill="FFFFFF" w:val="clear"/>
            <w:vAlign w:val="center"/>
          </w:tcPr>
          <w:p>
            <w:pPr>
              <w:pStyle w:val="TableContents"/>
              <w:bidi w:val="0"/>
              <w:spacing w:before="0" w:after="283"/>
              <w:ind w:left="0" w:right="0" w:hanging="0"/>
              <w:jc w:val="left"/>
              <w:rPr/>
            </w:pPr>
            <w:r>
              <w:rPr/>
              <w:t> </w:t>
            </w:r>
          </w:p>
        </w:tc>
      </w:tr>
      <w:tr>
        <w:trPr/>
        <w:tc>
          <w:tcPr>
            <w:tcW w:w="3411"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of June 30, 2026:</w:t>
            </w:r>
          </w:p>
        </w:tc>
        <w:tc>
          <w:tcPr>
            <w:tcW w:w="60" w:type="dxa"/>
            <w:tcBorders/>
            <w:shd w:fill="FFFFFF" w:val="clear"/>
            <w:vAlign w:val="center"/>
          </w:tcPr>
          <w:p>
            <w:pPr>
              <w:pStyle w:val="TableContents"/>
              <w:bidi w:val="0"/>
              <w:spacing w:before="0" w:after="283"/>
              <w:ind w:left="0" w:right="0" w:hanging="0"/>
              <w:jc w:val="left"/>
              <w:rPr/>
            </w:pPr>
            <w:r>
              <w:rPr/>
              <w:t> </w:t>
            </w:r>
          </w:p>
        </w:tc>
        <w:tc>
          <w:tcPr>
            <w:tcW w:w="6540"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i/>
                <w:caps w:val="false"/>
                <w:smallCaps w:val="false"/>
                <w:sz w:val="20"/>
              </w:rPr>
              <w:t>(dollars in thousands)</w:t>
            </w:r>
          </w:p>
        </w:tc>
        <w:tc>
          <w:tcPr>
            <w:tcW w:w="194" w:type="dxa"/>
            <w:tcBorders/>
            <w:shd w:fill="FFFFFF" w:val="clear"/>
            <w:vAlign w:val="center"/>
          </w:tcPr>
          <w:p>
            <w:pPr>
              <w:pStyle w:val="TableContents"/>
              <w:bidi w:val="0"/>
              <w:spacing w:before="0" w:after="283"/>
              <w:ind w:left="180" w:right="0" w:hanging="0"/>
              <w:jc w:val="left"/>
              <w:rPr/>
            </w:pPr>
            <w:r>
              <w:rPr/>
              <w:t> </w:t>
            </w:r>
          </w:p>
        </w:tc>
      </w:tr>
      <w:tr>
        <w:trPr/>
        <w:tc>
          <w:tcPr>
            <w:tcW w:w="3411" w:type="dxa"/>
            <w:tcBorders/>
            <w:shd w:fill="CCEEFF" w:val="clear"/>
            <w:vAlign w:val="center"/>
          </w:tcPr>
          <w:p>
            <w:pPr>
              <w:pStyle w:val="TableContents"/>
              <w:bidi w:val="0"/>
              <w:spacing w:before="0" w:after="0"/>
              <w:ind w:left="36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Tier 1 Leverage Ratio</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540" w:right="0" w:hanging="0"/>
              <w:jc w:val="left"/>
              <w:rPr/>
            </w:pPr>
            <w:r>
              <w:rPr/>
              <w:t> </w:t>
            </w:r>
          </w:p>
        </w:tc>
      </w:tr>
      <w:tr>
        <w:trPr/>
        <w:tc>
          <w:tcPr>
            <w:tcW w:w="3411"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492,367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0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166,128</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5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0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207,661</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6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194" w:type="dxa"/>
            <w:tcBorders/>
            <w:shd w:fill="FFFFFF" w:val="clear"/>
            <w:vAlign w:val="center"/>
          </w:tcPr>
          <w:p>
            <w:pPr>
              <w:pStyle w:val="TableContents"/>
              <w:bidi w:val="0"/>
              <w:spacing w:before="0" w:after="283"/>
              <w:ind w:left="540" w:right="0" w:hanging="0"/>
              <w:jc w:val="left"/>
              <w:rPr>
                <w:rFonts w:ascii="Times New Roman;Times;serif" w:hAnsi="Times New Roman;Times;serif"/>
                <w:sz w:val="20"/>
              </w:rPr>
            </w:pPr>
            <w:r>
              <w:rPr>
                <w:rFonts w:ascii="Times New Roman;Times;serif" w:hAnsi="Times New Roman;Times;serif"/>
                <w:sz w:val="20"/>
              </w:rPr>
              <w:t>%</w:t>
            </w:r>
          </w:p>
        </w:tc>
      </w:tr>
      <w:tr>
        <w:trPr/>
        <w:tc>
          <w:tcPr>
            <w:tcW w:w="3411"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Bank</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520,358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11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165,918</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5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1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207,398</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6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194" w:type="dxa"/>
            <w:tcBorders/>
            <w:shd w:fill="CCEEFF" w:val="clear"/>
            <w:vAlign w:val="center"/>
          </w:tcPr>
          <w:p>
            <w:pPr>
              <w:pStyle w:val="TableContents"/>
              <w:bidi w:val="0"/>
              <w:spacing w:before="0" w:after="283"/>
              <w:ind w:left="180" w:right="0" w:hanging="0"/>
              <w:jc w:val="left"/>
              <w:rPr>
                <w:rFonts w:ascii="Times New Roman;Times;serif" w:hAnsi="Times New Roman;Times;serif"/>
                <w:sz w:val="20"/>
              </w:rPr>
            </w:pPr>
            <w:r>
              <w:rPr>
                <w:rFonts w:ascii="Times New Roman;Times;serif" w:hAnsi="Times New Roman;Times;serif"/>
                <w:sz w:val="20"/>
              </w:rPr>
              <w:t>%</w:t>
            </w:r>
          </w:p>
        </w:tc>
      </w:tr>
      <w:tr>
        <w:trPr/>
        <w:tc>
          <w:tcPr>
            <w:tcW w:w="3411" w:type="dxa"/>
            <w:tcBorders/>
            <w:shd w:fill="FFFFFF" w:val="clear"/>
            <w:vAlign w:val="center"/>
          </w:tcPr>
          <w:p>
            <w:pPr>
              <w:pStyle w:val="TableContents"/>
              <w:bidi w:val="0"/>
              <w:spacing w:before="0" w:after="0"/>
              <w:ind w:left="36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Common Equity Tier 1 Risk-Based Capital Ratio</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572"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540" w:right="0" w:hanging="0"/>
              <w:jc w:val="left"/>
              <w:rPr/>
            </w:pPr>
            <w:r>
              <w:rPr/>
              <w:t> </w:t>
            </w:r>
          </w:p>
        </w:tc>
      </w:tr>
      <w:tr>
        <w:trPr/>
        <w:tc>
          <w:tcPr>
            <w:tcW w:w="3411"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477,348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119,327</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5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172,361</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6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194" w:type="dxa"/>
            <w:tcBorders/>
            <w:shd w:fill="CCEEFF" w:val="clear"/>
            <w:vAlign w:val="center"/>
          </w:tcPr>
          <w:p>
            <w:pPr>
              <w:pStyle w:val="TableContents"/>
              <w:bidi w:val="0"/>
              <w:spacing w:before="0" w:after="283"/>
              <w:ind w:left="540" w:right="0" w:hanging="0"/>
              <w:jc w:val="left"/>
              <w:rPr>
                <w:rFonts w:ascii="Times New Roman;Times;serif" w:hAnsi="Times New Roman;Times;serif"/>
                <w:sz w:val="20"/>
              </w:rPr>
            </w:pPr>
            <w:r>
              <w:rPr>
                <w:rFonts w:ascii="Times New Roman;Times;serif" w:hAnsi="Times New Roman;Times;serif"/>
                <w:sz w:val="20"/>
              </w:rPr>
              <w:t>%</w:t>
            </w:r>
          </w:p>
        </w:tc>
      </w:tr>
      <w:tr>
        <w:trPr/>
        <w:tc>
          <w:tcPr>
            <w:tcW w:w="3411"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Bank</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520,358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11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118,988</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5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1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171,872</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6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194" w:type="dxa"/>
            <w:tcBorders/>
            <w:shd w:fill="FFFFFF" w:val="clear"/>
            <w:vAlign w:val="center"/>
          </w:tcPr>
          <w:p>
            <w:pPr>
              <w:pStyle w:val="TableContents"/>
              <w:bidi w:val="0"/>
              <w:spacing w:before="0" w:after="283"/>
              <w:ind w:left="180" w:right="0" w:hanging="0"/>
              <w:jc w:val="left"/>
              <w:rPr>
                <w:rFonts w:ascii="Times New Roman;Times;serif" w:hAnsi="Times New Roman;Times;serif"/>
                <w:sz w:val="20"/>
              </w:rPr>
            </w:pPr>
            <w:r>
              <w:rPr>
                <w:rFonts w:ascii="Times New Roman;Times;serif" w:hAnsi="Times New Roman;Times;serif"/>
                <w:sz w:val="20"/>
              </w:rPr>
              <w:t>%</w:t>
            </w:r>
          </w:p>
        </w:tc>
      </w:tr>
      <w:tr>
        <w:trPr/>
        <w:tc>
          <w:tcPr>
            <w:tcW w:w="3411" w:type="dxa"/>
            <w:tcBorders/>
            <w:shd w:fill="CCEEFF" w:val="clear"/>
            <w:vAlign w:val="center"/>
          </w:tcPr>
          <w:p>
            <w:pPr>
              <w:pStyle w:val="TableContents"/>
              <w:bidi w:val="0"/>
              <w:spacing w:before="0" w:after="0"/>
              <w:ind w:left="36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Tier 1 Risk-Based Capital Ratio</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540" w:right="0" w:hanging="0"/>
              <w:jc w:val="left"/>
              <w:rPr/>
            </w:pPr>
            <w:r>
              <w:rPr/>
              <w:t> </w:t>
            </w:r>
          </w:p>
        </w:tc>
      </w:tr>
      <w:tr>
        <w:trPr/>
        <w:tc>
          <w:tcPr>
            <w:tcW w:w="3411"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492,367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0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159,102</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5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0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212,136</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6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194" w:type="dxa"/>
            <w:tcBorders/>
            <w:shd w:fill="FFFFFF" w:val="clear"/>
            <w:vAlign w:val="center"/>
          </w:tcPr>
          <w:p>
            <w:pPr>
              <w:pStyle w:val="TableContents"/>
              <w:bidi w:val="0"/>
              <w:spacing w:before="0" w:after="283"/>
              <w:ind w:left="540" w:right="0" w:hanging="0"/>
              <w:jc w:val="left"/>
              <w:rPr>
                <w:rFonts w:ascii="Times New Roman;Times;serif" w:hAnsi="Times New Roman;Times;serif"/>
                <w:sz w:val="20"/>
              </w:rPr>
            </w:pPr>
            <w:r>
              <w:rPr>
                <w:rFonts w:ascii="Times New Roman;Times;serif" w:hAnsi="Times New Roman;Times;serif"/>
                <w:sz w:val="20"/>
              </w:rPr>
              <w:t>%</w:t>
            </w:r>
          </w:p>
        </w:tc>
      </w:tr>
      <w:tr>
        <w:trPr/>
        <w:tc>
          <w:tcPr>
            <w:tcW w:w="3411"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Bank</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520,358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11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158,651</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5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1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211,535</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6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194" w:type="dxa"/>
            <w:tcBorders/>
            <w:shd w:fill="CCEEFF" w:val="clear"/>
            <w:vAlign w:val="center"/>
          </w:tcPr>
          <w:p>
            <w:pPr>
              <w:pStyle w:val="TableContents"/>
              <w:bidi w:val="0"/>
              <w:spacing w:before="0" w:after="283"/>
              <w:ind w:left="180" w:right="0" w:hanging="0"/>
              <w:jc w:val="left"/>
              <w:rPr>
                <w:rFonts w:ascii="Times New Roman;Times;serif" w:hAnsi="Times New Roman;Times;serif"/>
                <w:sz w:val="20"/>
              </w:rPr>
            </w:pPr>
            <w:r>
              <w:rPr>
                <w:rFonts w:ascii="Times New Roman;Times;serif" w:hAnsi="Times New Roman;Times;serif"/>
                <w:sz w:val="20"/>
              </w:rPr>
              <w:t>%</w:t>
            </w:r>
          </w:p>
        </w:tc>
      </w:tr>
      <w:tr>
        <w:trPr/>
        <w:tc>
          <w:tcPr>
            <w:tcW w:w="3411" w:type="dxa"/>
            <w:tcBorders/>
            <w:shd w:fill="FFFFFF" w:val="clear"/>
            <w:vAlign w:val="center"/>
          </w:tcPr>
          <w:p>
            <w:pPr>
              <w:pStyle w:val="TableContents"/>
              <w:bidi w:val="0"/>
              <w:spacing w:before="0" w:after="0"/>
              <w:ind w:left="36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Total Risk-Based Capital Ratio</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572"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540" w:right="0" w:hanging="0"/>
              <w:jc w:val="left"/>
              <w:rPr/>
            </w:pPr>
            <w:r>
              <w:rPr/>
              <w:t> </w:t>
            </w:r>
          </w:p>
        </w:tc>
      </w:tr>
      <w:tr>
        <w:trPr/>
        <w:tc>
          <w:tcPr>
            <w:tcW w:w="3411"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621,648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212,136</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5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265,171</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6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194" w:type="dxa"/>
            <w:tcBorders/>
            <w:shd w:fill="CCEEFF" w:val="clear"/>
            <w:vAlign w:val="center"/>
          </w:tcPr>
          <w:p>
            <w:pPr>
              <w:pStyle w:val="TableContents"/>
              <w:bidi w:val="0"/>
              <w:spacing w:before="0" w:after="283"/>
              <w:ind w:left="540" w:right="0" w:hanging="0"/>
              <w:jc w:val="left"/>
              <w:rPr>
                <w:rFonts w:ascii="Times New Roman;Times;serif" w:hAnsi="Times New Roman;Times;serif"/>
                <w:sz w:val="20"/>
              </w:rPr>
            </w:pPr>
            <w:r>
              <w:rPr>
                <w:rFonts w:ascii="Times New Roman;Times;serif" w:hAnsi="Times New Roman;Times;serif"/>
                <w:sz w:val="20"/>
              </w:rPr>
              <w:t>%</w:t>
            </w:r>
          </w:p>
        </w:tc>
      </w:tr>
      <w:tr>
        <w:trPr/>
        <w:tc>
          <w:tcPr>
            <w:tcW w:w="3411"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Bank</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553,546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11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211,535</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5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1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264,418</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6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19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rFonts w:ascii="Times New Roman;Times;serif" w:hAnsi="Times New Roman;Times;serif"/>
          <w:sz w:val="18"/>
        </w:rPr>
        <w:t>(</w:t>
      </w:r>
      <w:r>
        <w:rPr>
          <w:rStyle w:val="Emphasis"/>
          <w:rFonts w:ascii="Times New Roman;Times;serif" w:hAnsi="Times New Roman;Times;serif"/>
          <w:sz w:val="18"/>
        </w:rPr>
        <w:t>1</w:t>
      </w:r>
      <w:r>
        <w:rPr>
          <w:rFonts w:ascii="Times New Roman;Times;serif" w:hAnsi="Times New Roman;Times;serif"/>
          <w:sz w:val="18"/>
        </w:rPr>
        <w:t>) These ratios are exclusive of the 2.5% capital conservation buffer.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3406"/>
        <w:gridCol w:w="60"/>
        <w:gridCol w:w="125"/>
        <w:gridCol w:w="695"/>
        <w:gridCol w:w="60"/>
        <w:gridCol w:w="60"/>
        <w:gridCol w:w="60"/>
        <w:gridCol w:w="485"/>
        <w:gridCol w:w="185"/>
        <w:gridCol w:w="60"/>
        <w:gridCol w:w="206"/>
        <w:gridCol w:w="1154"/>
        <w:gridCol w:w="98"/>
        <w:gridCol w:w="98"/>
        <w:gridCol w:w="129"/>
        <w:gridCol w:w="573"/>
        <w:gridCol w:w="185"/>
        <w:gridCol w:w="60"/>
        <w:gridCol w:w="208"/>
        <w:gridCol w:w="1165"/>
        <w:gridCol w:w="99"/>
        <w:gridCol w:w="99"/>
        <w:gridCol w:w="105"/>
        <w:gridCol w:w="639"/>
        <w:gridCol w:w="191"/>
      </w:tblGrid>
      <w:tr>
        <w:trPr/>
        <w:tc>
          <w:tcPr>
            <w:tcW w:w="34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18"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 of Capital Required</w:t>
            </w:r>
          </w:p>
        </w:tc>
        <w:tc>
          <w:tcPr>
            <w:tcW w:w="191" w:type="dxa"/>
            <w:tcBorders/>
            <w:shd w:fill="FFFFFF" w:val="clear"/>
            <w:vAlign w:val="center"/>
          </w:tcPr>
          <w:p>
            <w:pPr>
              <w:pStyle w:val="TableContents"/>
              <w:bidi w:val="0"/>
              <w:spacing w:before="0" w:after="283"/>
              <w:jc w:val="left"/>
              <w:rPr/>
            </w:pPr>
            <w:r>
              <w:rPr/>
              <w:t> </w:t>
            </w:r>
          </w:p>
        </w:tc>
      </w:tr>
      <w:tr>
        <w:trPr/>
        <w:tc>
          <w:tcPr>
            <w:tcW w:w="34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54" w:type="dxa"/>
            <w:tcBorders/>
            <w:shd w:fill="FFFFFF" w:val="clear"/>
            <w:vAlign w:val="center"/>
          </w:tcPr>
          <w:p>
            <w:pPr>
              <w:pStyle w:val="TableContents"/>
              <w:bidi w:val="0"/>
              <w:spacing w:before="0" w:after="283"/>
              <w:jc w:val="center"/>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73"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15" w:type="dxa"/>
            <w:gridSpan w:val="6"/>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4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58"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Minimum Required for</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15"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 Be Well-Capitalized Under</w:t>
            </w:r>
          </w:p>
        </w:tc>
        <w:tc>
          <w:tcPr>
            <w:tcW w:w="191" w:type="dxa"/>
            <w:tcBorders/>
            <w:shd w:fill="FFFFFF" w:val="clear"/>
            <w:vAlign w:val="center"/>
          </w:tcPr>
          <w:p>
            <w:pPr>
              <w:pStyle w:val="TableContents"/>
              <w:bidi w:val="0"/>
              <w:spacing w:before="0" w:after="283"/>
              <w:jc w:val="left"/>
              <w:rPr/>
            </w:pPr>
            <w:r>
              <w:rPr/>
              <w:t> </w:t>
            </w:r>
          </w:p>
        </w:tc>
      </w:tr>
      <w:tr>
        <w:trPr/>
        <w:tc>
          <w:tcPr>
            <w:tcW w:w="34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Actual</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5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Capital Adequacy Purposes</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1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Prompt Corrective Provisions</w:t>
            </w:r>
          </w:p>
        </w:tc>
        <w:tc>
          <w:tcPr>
            <w:tcW w:w="191" w:type="dxa"/>
            <w:tcBorders/>
            <w:shd w:fill="FFFFFF" w:val="clear"/>
            <w:vAlign w:val="center"/>
          </w:tcPr>
          <w:p>
            <w:pPr>
              <w:pStyle w:val="TableContents"/>
              <w:bidi w:val="0"/>
              <w:spacing w:before="0" w:after="283"/>
              <w:jc w:val="left"/>
              <w:rPr/>
            </w:pPr>
            <w:r>
              <w:rPr/>
              <w:t> </w:t>
            </w:r>
          </w:p>
        </w:tc>
      </w:tr>
      <w:tr>
        <w:trPr/>
        <w:tc>
          <w:tcPr>
            <w:tcW w:w="34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Ratio</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702"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Ratio (1)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7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7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Ratio</w:t>
            </w:r>
          </w:p>
        </w:tc>
        <w:tc>
          <w:tcPr>
            <w:tcW w:w="191" w:type="dxa"/>
            <w:tcBorders/>
            <w:shd w:fill="FFFFFF" w:val="clear"/>
            <w:vAlign w:val="center"/>
          </w:tcPr>
          <w:p>
            <w:pPr>
              <w:pStyle w:val="TableContents"/>
              <w:bidi w:val="0"/>
              <w:spacing w:before="0" w:after="283"/>
              <w:ind w:left="0" w:right="0" w:hanging="0"/>
              <w:jc w:val="left"/>
              <w:rPr/>
            </w:pPr>
            <w:r>
              <w:rPr/>
              <w:t> </w:t>
            </w:r>
          </w:p>
        </w:tc>
      </w:tr>
      <w:tr>
        <w:trPr/>
        <w:tc>
          <w:tcPr>
            <w:tcW w:w="3406"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 of December 31, 2025:</w:t>
            </w:r>
          </w:p>
        </w:tc>
        <w:tc>
          <w:tcPr>
            <w:tcW w:w="60" w:type="dxa"/>
            <w:tcBorders/>
            <w:shd w:fill="FFFFFF" w:val="clear"/>
            <w:vAlign w:val="center"/>
          </w:tcPr>
          <w:p>
            <w:pPr>
              <w:pStyle w:val="TableContents"/>
              <w:bidi w:val="0"/>
              <w:spacing w:before="0" w:after="283"/>
              <w:ind w:left="0" w:right="0" w:hanging="0"/>
              <w:jc w:val="left"/>
              <w:rPr/>
            </w:pPr>
            <w:r>
              <w:rPr/>
              <w:t> </w:t>
            </w:r>
          </w:p>
        </w:tc>
        <w:tc>
          <w:tcPr>
            <w:tcW w:w="6548" w:type="dxa"/>
            <w:gridSpan w:val="2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i/>
                <w:sz w:val="20"/>
              </w:rPr>
              <w:t>(dollars in thousands)</w:t>
            </w:r>
          </w:p>
        </w:tc>
        <w:tc>
          <w:tcPr>
            <w:tcW w:w="191" w:type="dxa"/>
            <w:tcBorders/>
            <w:shd w:fill="FFFFFF" w:val="clear"/>
            <w:vAlign w:val="center"/>
          </w:tcPr>
          <w:p>
            <w:pPr>
              <w:pStyle w:val="TableContents"/>
              <w:bidi w:val="0"/>
              <w:spacing w:before="0" w:after="283"/>
              <w:ind w:left="180" w:right="0" w:hanging="0"/>
              <w:jc w:val="left"/>
              <w:rPr/>
            </w:pPr>
            <w:r>
              <w:rPr/>
              <w:t> </w:t>
            </w:r>
          </w:p>
        </w:tc>
      </w:tr>
      <w:tr>
        <w:trPr/>
        <w:tc>
          <w:tcPr>
            <w:tcW w:w="3406" w:type="dxa"/>
            <w:tcBorders/>
            <w:shd w:fill="CCEEFF" w:val="clear"/>
            <w:vAlign w:val="center"/>
          </w:tcPr>
          <w:p>
            <w:pPr>
              <w:pStyle w:val="TableContents"/>
              <w:bidi w:val="0"/>
              <w:spacing w:before="0" w:after="0"/>
              <w:ind w:left="36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Tier 1 Leverage Ratio</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573"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540" w:right="0" w:hanging="0"/>
              <w:jc w:val="left"/>
              <w:rPr/>
            </w:pPr>
            <w:r>
              <w:rPr/>
              <w:t> </w:t>
            </w:r>
          </w:p>
        </w:tc>
      </w:tr>
      <w:tr>
        <w:trPr/>
        <w:tc>
          <w:tcPr>
            <w:tcW w:w="3406"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479,047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0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165,193</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5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0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206,491</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191" w:type="dxa"/>
            <w:tcBorders/>
            <w:shd w:fill="FFFFFF" w:val="clear"/>
            <w:vAlign w:val="center"/>
          </w:tcPr>
          <w:p>
            <w:pPr>
              <w:pStyle w:val="TableContents"/>
              <w:bidi w:val="0"/>
              <w:spacing w:before="0" w:after="283"/>
              <w:ind w:left="540" w:right="0" w:hanging="0"/>
              <w:jc w:val="left"/>
              <w:rPr>
                <w:rFonts w:ascii="Times New Roman;Times;serif" w:hAnsi="Times New Roman;Times;serif"/>
                <w:sz w:val="20"/>
              </w:rPr>
            </w:pPr>
            <w:r>
              <w:rPr>
                <w:rFonts w:ascii="Times New Roman;Times;serif" w:hAnsi="Times New Roman;Times;serif"/>
                <w:sz w:val="20"/>
              </w:rPr>
              <w:t>%</w:t>
            </w:r>
          </w:p>
        </w:tc>
      </w:tr>
      <w:tr>
        <w:trPr/>
        <w:tc>
          <w:tcPr>
            <w:tcW w:w="3406"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Bank</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544,296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11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164,965</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5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1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206,206</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191" w:type="dxa"/>
            <w:tcBorders/>
            <w:shd w:fill="CCEEFF" w:val="clear"/>
            <w:vAlign w:val="center"/>
          </w:tcPr>
          <w:p>
            <w:pPr>
              <w:pStyle w:val="TableContents"/>
              <w:bidi w:val="0"/>
              <w:spacing w:before="0" w:after="283"/>
              <w:ind w:left="180" w:right="0" w:hanging="0"/>
              <w:jc w:val="left"/>
              <w:rPr>
                <w:rFonts w:ascii="Times New Roman;Times;serif" w:hAnsi="Times New Roman;Times;serif"/>
                <w:sz w:val="20"/>
              </w:rPr>
            </w:pPr>
            <w:r>
              <w:rPr>
                <w:rFonts w:ascii="Times New Roman;Times;serif" w:hAnsi="Times New Roman;Times;serif"/>
                <w:sz w:val="20"/>
              </w:rPr>
              <w:t>%</w:t>
            </w:r>
          </w:p>
        </w:tc>
      </w:tr>
      <w:tr>
        <w:trPr/>
        <w:tc>
          <w:tcPr>
            <w:tcW w:w="3406" w:type="dxa"/>
            <w:tcBorders/>
            <w:shd w:fill="FFFFFF" w:val="clear"/>
            <w:vAlign w:val="center"/>
          </w:tcPr>
          <w:p>
            <w:pPr>
              <w:pStyle w:val="TableContents"/>
              <w:bidi w:val="0"/>
              <w:spacing w:before="0" w:after="0"/>
              <w:ind w:left="36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Common Equity Tier 1 Risk Based Capital Ratio</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54"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73"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540" w:right="0" w:hanging="0"/>
              <w:jc w:val="left"/>
              <w:rPr/>
            </w:pPr>
            <w:r>
              <w:rPr/>
              <w:t> </w:t>
            </w:r>
          </w:p>
        </w:tc>
      </w:tr>
      <w:tr>
        <w:trPr/>
        <w:tc>
          <w:tcPr>
            <w:tcW w:w="3406"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464,133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119,388</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5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172,450</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191" w:type="dxa"/>
            <w:tcBorders/>
            <w:shd w:fill="CCEEFF" w:val="clear"/>
            <w:vAlign w:val="center"/>
          </w:tcPr>
          <w:p>
            <w:pPr>
              <w:pStyle w:val="TableContents"/>
              <w:bidi w:val="0"/>
              <w:spacing w:before="0" w:after="283"/>
              <w:ind w:left="540" w:right="0" w:hanging="0"/>
              <w:jc w:val="left"/>
              <w:rPr>
                <w:rFonts w:ascii="Times New Roman;Times;serif" w:hAnsi="Times New Roman;Times;serif"/>
                <w:sz w:val="20"/>
              </w:rPr>
            </w:pPr>
            <w:r>
              <w:rPr>
                <w:rFonts w:ascii="Times New Roman;Times;serif" w:hAnsi="Times New Roman;Times;serif"/>
                <w:sz w:val="20"/>
              </w:rPr>
              <w:t>%</w:t>
            </w:r>
          </w:p>
        </w:tc>
      </w:tr>
      <w:tr>
        <w:trPr/>
        <w:tc>
          <w:tcPr>
            <w:tcW w:w="3406"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Bank</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544,296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11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119,075</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5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1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171,998</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191" w:type="dxa"/>
            <w:tcBorders/>
            <w:shd w:fill="FFFFFF" w:val="clear"/>
            <w:vAlign w:val="center"/>
          </w:tcPr>
          <w:p>
            <w:pPr>
              <w:pStyle w:val="TableContents"/>
              <w:bidi w:val="0"/>
              <w:spacing w:before="0" w:after="283"/>
              <w:ind w:left="180" w:right="0" w:hanging="0"/>
              <w:jc w:val="left"/>
              <w:rPr>
                <w:rFonts w:ascii="Times New Roman;Times;serif" w:hAnsi="Times New Roman;Times;serif"/>
                <w:sz w:val="20"/>
              </w:rPr>
            </w:pPr>
            <w:r>
              <w:rPr>
                <w:rFonts w:ascii="Times New Roman;Times;serif" w:hAnsi="Times New Roman;Times;serif"/>
                <w:sz w:val="20"/>
              </w:rPr>
              <w:t>%</w:t>
            </w:r>
          </w:p>
        </w:tc>
      </w:tr>
      <w:tr>
        <w:trPr/>
        <w:tc>
          <w:tcPr>
            <w:tcW w:w="3406" w:type="dxa"/>
            <w:tcBorders/>
            <w:shd w:fill="CCEEFF" w:val="clear"/>
            <w:vAlign w:val="center"/>
          </w:tcPr>
          <w:p>
            <w:pPr>
              <w:pStyle w:val="TableContents"/>
              <w:bidi w:val="0"/>
              <w:spacing w:before="0" w:after="0"/>
              <w:ind w:left="36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Tier 1 Risk-Based Capital Ratio</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573"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540" w:right="0" w:hanging="0"/>
              <w:jc w:val="left"/>
              <w:rPr/>
            </w:pPr>
            <w:r>
              <w:rPr/>
              <w:t> </w:t>
            </w:r>
          </w:p>
        </w:tc>
      </w:tr>
      <w:tr>
        <w:trPr/>
        <w:tc>
          <w:tcPr>
            <w:tcW w:w="3406"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479,047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0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159,184</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5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0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212,246</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191" w:type="dxa"/>
            <w:tcBorders/>
            <w:shd w:fill="FFFFFF" w:val="clear"/>
            <w:vAlign w:val="center"/>
          </w:tcPr>
          <w:p>
            <w:pPr>
              <w:pStyle w:val="TableContents"/>
              <w:bidi w:val="0"/>
              <w:spacing w:before="0" w:after="283"/>
              <w:ind w:left="540" w:right="0" w:hanging="0"/>
              <w:jc w:val="left"/>
              <w:rPr>
                <w:rFonts w:ascii="Times New Roman;Times;serif" w:hAnsi="Times New Roman;Times;serif"/>
                <w:sz w:val="20"/>
              </w:rPr>
            </w:pPr>
            <w:r>
              <w:rPr>
                <w:rFonts w:ascii="Times New Roman;Times;serif" w:hAnsi="Times New Roman;Times;serif"/>
                <w:sz w:val="20"/>
              </w:rPr>
              <w:t>%</w:t>
            </w:r>
          </w:p>
        </w:tc>
      </w:tr>
      <w:tr>
        <w:trPr/>
        <w:tc>
          <w:tcPr>
            <w:tcW w:w="3406"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Bank</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544,296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11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158,767</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5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1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211,690</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191" w:type="dxa"/>
            <w:tcBorders/>
            <w:shd w:fill="CCEEFF" w:val="clear"/>
            <w:vAlign w:val="center"/>
          </w:tcPr>
          <w:p>
            <w:pPr>
              <w:pStyle w:val="TableContents"/>
              <w:bidi w:val="0"/>
              <w:spacing w:before="0" w:after="283"/>
              <w:ind w:left="180" w:right="0" w:hanging="0"/>
              <w:jc w:val="left"/>
              <w:rPr>
                <w:rFonts w:ascii="Times New Roman;Times;serif" w:hAnsi="Times New Roman;Times;serif"/>
                <w:sz w:val="20"/>
              </w:rPr>
            </w:pPr>
            <w:r>
              <w:rPr>
                <w:rFonts w:ascii="Times New Roman;Times;serif" w:hAnsi="Times New Roman;Times;serif"/>
                <w:sz w:val="20"/>
              </w:rPr>
              <w:t>%</w:t>
            </w:r>
          </w:p>
        </w:tc>
      </w:tr>
      <w:tr>
        <w:trPr/>
        <w:tc>
          <w:tcPr>
            <w:tcW w:w="3406" w:type="dxa"/>
            <w:tcBorders/>
            <w:shd w:fill="FFFFFF" w:val="clear"/>
            <w:vAlign w:val="center"/>
          </w:tcPr>
          <w:p>
            <w:pPr>
              <w:pStyle w:val="TableContents"/>
              <w:bidi w:val="0"/>
              <w:spacing w:before="0" w:after="0"/>
              <w:ind w:left="36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Total Risk-Based Capital Ratio</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54"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73"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540" w:right="0" w:hanging="0"/>
              <w:jc w:val="left"/>
              <w:rPr/>
            </w:pPr>
            <w:r>
              <w:rPr/>
              <w:t> </w:t>
            </w:r>
          </w:p>
        </w:tc>
      </w:tr>
      <w:tr>
        <w:trPr/>
        <w:tc>
          <w:tcPr>
            <w:tcW w:w="3406"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632,260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212,246</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5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265,307</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191" w:type="dxa"/>
            <w:tcBorders/>
            <w:shd w:fill="CCEEFF" w:val="clear"/>
            <w:vAlign w:val="center"/>
          </w:tcPr>
          <w:p>
            <w:pPr>
              <w:pStyle w:val="TableContents"/>
              <w:bidi w:val="0"/>
              <w:spacing w:before="0" w:after="283"/>
              <w:ind w:left="540" w:right="0" w:hanging="0"/>
              <w:jc w:val="left"/>
              <w:rPr>
                <w:rFonts w:ascii="Times New Roman;Times;serif" w:hAnsi="Times New Roman;Times;serif"/>
                <w:sz w:val="20"/>
              </w:rPr>
            </w:pPr>
            <w:r>
              <w:rPr>
                <w:rFonts w:ascii="Times New Roman;Times;serif" w:hAnsi="Times New Roman;Times;serif"/>
                <w:sz w:val="20"/>
              </w:rPr>
              <w:t>%</w:t>
            </w:r>
          </w:p>
        </w:tc>
      </w:tr>
      <w:tr>
        <w:trPr/>
        <w:tc>
          <w:tcPr>
            <w:tcW w:w="3406"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Bank</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577,512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11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211,690</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5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1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264,612</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1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rFonts w:ascii="Times New Roman" w:hAnsi="Times New Roman"/>
          <w:caps w:val="false"/>
          <w:smallCaps w:val="false"/>
          <w:sz w:val="18"/>
        </w:rPr>
        <w:t>(</w:t>
      </w:r>
      <w:r>
        <w:rPr>
          <w:rStyle w:val="Emphasis"/>
          <w:rFonts w:ascii="Times New Roman" w:hAnsi="Times New Roman"/>
          <w:caps w:val="false"/>
          <w:smallCaps w:val="false"/>
          <w:sz w:val="18"/>
        </w:rPr>
        <w:t>1</w:t>
      </w:r>
      <w:r>
        <w:rPr>
          <w:rFonts w:ascii="Times New Roman" w:hAnsi="Times New Roman"/>
          <w:caps w:val="false"/>
          <w:smallCaps w:val="false"/>
          <w:sz w:val="18"/>
        </w:rPr>
        <w:t>) These ratios are exclusive of the 2.5% capital conservation buffer.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California Financial Code generally acts to prohibit banks from making a cash distribution to its shareholders in excess of the lesser of the bank's undivided profits or the bank's net income for its last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fiscal years less the amount of any distribution made by the bank's shareholders during the same period, unless prior written approval by the California Department of Financial Protection and Innovation is obtained.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California General Corporation Law generally acts to prohibit companies from paying dividends on common stock unless retained earnings, immediately prior to the dividend payment, equals or exceeds the amount of the dividend. If a company fails this test, then it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still pay dividends if after giving effect to the dividend the company's assets are at least 125% of its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Additionally, the Federal Reserve has issued guidance which requires that they be consulted before payment of a dividend if a bank holding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earnings over the prior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quarters of at least equal to the dividend to be paid, plus other holding company obligations.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18</w:t>
      </w:r>
      <w:r>
        <w:rPr>
          <w:rFonts w:ascii="Times New Roman" w:hAnsi="Times New Roman"/>
          <w:b/>
          <w:caps w:val="false"/>
          <w:smallCaps w:val="false"/>
          <w:sz w:val="20"/>
        </w:rPr>
        <w:t xml:space="preserve"> - FAIR VALUE MEASUREMENTS AND FAIR VALUE OF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In accordance with ASC </w:t>
      </w:r>
      <w:r>
        <w:rPr>
          <w:rStyle w:val="Emphasis"/>
          <w:rFonts w:ascii="Times New Roman" w:hAnsi="Times New Roman"/>
          <w:caps w:val="false"/>
          <w:smallCaps w:val="false"/>
          <w:sz w:val="20"/>
        </w:rPr>
        <w:t>820</w:t>
      </w:r>
      <w:r>
        <w:rPr>
          <w:rFonts w:ascii="Times New Roman" w:hAnsi="Times New Roman"/>
          <w:caps w:val="false"/>
          <w:smallCaps w:val="false"/>
          <w:sz w:val="20"/>
        </w:rPr>
        <w:t>-</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we group financial assets and financial liabilities measured at fair value in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levels, based on the markets in which the assets and liabilities are traded and the reliability of the assumptions used to determine fair value. The hierarchy gives the highest priority to unadjusted quoted prices in active markets for identical assets or liabilities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measurements) and the lowest priority to unobservable inputs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measurements).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levels of the fair value hierarchy are described as follows: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b/>
          <w:i/>
          <w:caps w:val="false"/>
          <w:smallCaps w:val="false"/>
          <w:sz w:val="20"/>
          <w:u w:val="single"/>
        </w:rPr>
      </w:pPr>
      <w:r>
        <w:rPr>
          <w:rFonts w:ascii="Times New Roman" w:hAnsi="Times New Roman"/>
          <w:b/>
          <w:i/>
          <w:caps w:val="false"/>
          <w:smallCaps w:val="false"/>
          <w:sz w:val="20"/>
          <w:u w:val="single"/>
        </w:rPr>
        <w:t>Fair Value Hierarchy</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 Unadjusted quoted prices in active markets that are accessible at the measurement date for identical, unrestricted assets or liabilities.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 Inputs other than quoted prices included in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that are observable for the asset or liability, either directly or indirectly. These might include quoted prices for similar instruments in active markets, quoted prices for identical or similar instruments in markets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active, inputs other than quoted prices that are observable for the asset or liability (such as interest rates, prepayment speeds, volatilities, etc.) or model-based valuation techniques where all significant assumptions are observable, either directly or indirectly, in the market.</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 Valuation is generated from model-based techniques where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significant inputs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observable, either directly or indirectly, in the market. These unobservable assumptions reflect our own estimates of assumptions that market participants would use in pricing the asset or liability. Valuation techniques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include use of matrix pricing, discounted cash flow models, and similar techniques.</w:t>
      </w:r>
    </w:p>
    <w:p>
      <w:pPr>
        <w:pStyle w:val="TextBody"/>
        <w:bidi w:val="0"/>
        <w:spacing w:before="0" w:after="0"/>
        <w:ind w:left="0" w:right="0" w:hanging="0"/>
        <w:jc w:val="left"/>
        <w:rPr/>
      </w:pPr>
      <w:r>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b/>
          <w:i/>
          <w:caps w:val="false"/>
          <w:smallCaps w:val="false"/>
          <w:sz w:val="20"/>
          <w:u w:val="single"/>
        </w:rPr>
        <w:t>Assets and Liabilities Measured at Fair Value on a Recurring Basis</w:t>
      </w:r>
      <w:r>
        <w:rPr>
          <w:rFonts w:ascii="Times New Roman" w:hAnsi="Times New Roman"/>
          <w:caps w:val="false"/>
          <w:smallCaps w:val="false"/>
          <w:sz w:val="20"/>
        </w:rPr>
        <w:t>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u w:val="single"/>
        </w:rPr>
      </w:pPr>
      <w:r>
        <w:rPr>
          <w:rFonts w:ascii="Times New Roman" w:hAnsi="Times New Roman"/>
          <w:caps w:val="false"/>
          <w:smallCaps w:val="false"/>
          <w:sz w:val="20"/>
          <w:u w:val="single"/>
        </w:rPr>
        <w:t>Securities: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ind w:left="0" w:right="0" w:firstLine="540"/>
        <w:jc w:val="both"/>
        <w:rPr/>
      </w:pPr>
      <w:r>
        <w:rPr>
          <w:sz w:val="20"/>
        </w:rPr>
        <w:t xml:space="preserve">The fair values of securities available for sale are determined by obtaining quoted prices on nationally recognized securities exchanges (Level </w:t>
      </w:r>
      <w:r>
        <w:rPr>
          <w:rStyle w:val="Emphasis"/>
          <w:sz w:val="20"/>
        </w:rPr>
        <w:t>1</w:t>
      </w:r>
      <w:r>
        <w:rPr>
          <w:sz w:val="20"/>
        </w:rPr>
        <w:t xml:space="preserve">) or matrix pricing, which is a mathematical technique used widely in the industry to value debt securities without relying exclusively on quoted prices for specific securities but rather by relying on the securities' relationship to other benchmark quoted securities (Level </w:t>
      </w:r>
      <w:r>
        <w:rPr>
          <w:rStyle w:val="Emphasis"/>
          <w:sz w:val="20"/>
        </w:rPr>
        <w:t>2</w:t>
      </w:r>
      <w:r>
        <w:rPr>
          <w:sz w:val="20"/>
        </w:rPr>
        <w:t xml:space="preserve">).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b/>
          <w:i/>
          <w:caps w:val="false"/>
          <w:smallCaps w:val="false"/>
          <w:sz w:val="20"/>
          <w:u w:val="single"/>
        </w:rPr>
        <w:t>Assets and Liabilities Measured on a Non-Recurring Basis</w:t>
      </w:r>
      <w:r>
        <w:rPr>
          <w:rFonts w:ascii="Times New Roman" w:hAnsi="Times New Roman"/>
          <w:caps w:val="false"/>
          <w:smallCaps w:val="false"/>
          <w:sz w:val="20"/>
        </w:rPr>
        <w:t>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u w:val="single"/>
        </w:rPr>
      </w:pPr>
      <w:r>
        <w:rPr>
          <w:rFonts w:ascii="Times New Roman" w:hAnsi="Times New Roman"/>
          <w:caps w:val="false"/>
          <w:smallCaps w:val="false"/>
          <w:sz w:val="20"/>
          <w:u w:val="single"/>
        </w:rPr>
        <w:t>Collateral-dependent individually evaluated loans: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Collateral-dependent individually evaluated loans are carried at fair value when it is probable that we will be unable to collect all amounts due according to the contractual terms of the original loan agreement and the loan has been written down to the fair value of its underlying collateral, net of expected selling costs.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fair value of collateral-dependent individually evaluated loans is based on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party appraisals of the property, less management’s estimate of selling costs. Third party appraisals generally use a sales comparison or income capitalization approach to derive the appraised value based on market transactions involving similar or comparable properties. Adjustments are routinely made by the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party appraisers to adjust for differences between the comparable sales and income data used in the appraisal. Adjustments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also result from the consideration of relevant economic and demographic factors which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affect property values. Positive adjustments in the appraisal represent increases to the sales comparisons and negative adjustments represent decreases.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u w:val="single"/>
        </w:rPr>
      </w:pPr>
      <w:r>
        <w:rPr>
          <w:rFonts w:ascii="Times New Roman" w:hAnsi="Times New Roman"/>
          <w:caps w:val="false"/>
          <w:smallCaps w:val="false"/>
          <w:sz w:val="20"/>
          <w:u w:val="single"/>
        </w:rPr>
        <w:t>Other Real Estate Owned ("OREO"):</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sz w:val="20"/>
        </w:rPr>
        <w:t xml:space="preserve">OREO (included in “Accrued interest and other assets” in the consolidated balance sheets) is initially recorded at fair value less estimated selling costs at the date of transfer. This amount becomes the property's new basis. Fair values are generally based on </w:t>
      </w:r>
      <w:r>
        <w:rPr>
          <w:rStyle w:val="Emphasis"/>
          <w:sz w:val="20"/>
        </w:rPr>
        <w:t>third</w:t>
      </w:r>
      <w:r>
        <w:rPr>
          <w:sz w:val="20"/>
        </w:rPr>
        <w:t xml:space="preserve"> party appraisals of the property and discounted by management to reflect estimated selling costs (Level </w:t>
      </w:r>
      <w:r>
        <w:rPr>
          <w:rStyle w:val="Emphasis"/>
          <w:sz w:val="20"/>
        </w:rPr>
        <w:t>3</w:t>
      </w:r>
      <w:r>
        <w:rPr>
          <w:sz w:val="20"/>
        </w:rPr>
        <w:t xml:space="preserve">). </w:t>
      </w:r>
    </w:p>
    <w:p>
      <w:pPr>
        <w:pStyle w:val="TextBody"/>
        <w:bidi w:val="0"/>
        <w:ind w:left="0" w:right="0" w:firstLine="540"/>
        <w:jc w:val="both"/>
        <w:rPr/>
      </w:pPr>
      <w:r>
        <w:rPr/>
        <w:t xml:space="preserve">  </w:t>
      </w:r>
    </w:p>
    <w:p>
      <w:pPr>
        <w:pStyle w:val="TextBody"/>
        <w:bidi w:val="0"/>
        <w:spacing w:before="0" w:after="0"/>
        <w:ind w:left="0" w:right="0" w:firstLine="540"/>
        <w:jc w:val="both"/>
        <w:rPr/>
      </w:pPr>
      <w:r>
        <w:rPr>
          <w:rFonts w:ascii="Times New Roman" w:hAnsi="Times New Roman"/>
          <w:caps w:val="false"/>
          <w:smallCaps w:val="false"/>
          <w:sz w:val="20"/>
        </w:rPr>
        <w:t xml:space="preserve">Appraisals for OREO and collateral-dependent loans are performed by state licensed appraisers (for commercial properties) or state certified appraisers (for residential properties) whose qualifications and licenses have been reviewed and verified by us. We review the assumptions and approaches utilized in the appraisal as well as the overall resulting fair value in comparison to independent data sources such as recent market data or industry wide statistics for residential appraisals. We also consider the actual selling price of collateral that has been sold in recent periods to determine what additional adjustments, if any, should be made to the appraisal values to arrive at fair value. In determining the net realizable value of the underlying collateral for individually evaluated loans and OREO, we discount the valuation to cover both market price fluctuations and selling costs, typically ranging from 6% to 10% of the collateral value,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incurred in the event of foreclosure. Generally, if the existing appraisal is older than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for OREO or collateral-dependent loans, a new appraisal report is ordered.</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following table presents our financial assets and liabilities measured at fair value on a recurring basis or on a non-recurring basis as of the dates indicated: </w:t>
      </w:r>
    </w:p>
    <w:p>
      <w:pPr>
        <w:pStyle w:val="TextBody"/>
        <w:bidi w:val="0"/>
        <w:spacing w:before="0" w:after="0"/>
        <w:ind w:left="0" w:right="0" w:hanging="0"/>
        <w:jc w:val="left"/>
        <w:rPr>
          <w:caps w:val="false"/>
          <w:smallCaps w:val="false"/>
        </w:rPr>
      </w:pPr>
      <w:r>
        <w:rPr>
          <w:caps w:val="false"/>
          <w:smallCaps w:val="false"/>
        </w:rPr>
        <w:t> </w:t>
      </w:r>
    </w:p>
    <w:tbl>
      <w:tblPr>
        <w:tblW w:w="8482" w:type="dxa"/>
        <w:jc w:val="left"/>
        <w:tblInd w:w="0" w:type="dxa"/>
        <w:tblLayout w:type="fixed"/>
        <w:tblCellMar>
          <w:top w:w="0" w:type="dxa"/>
          <w:left w:w="0" w:type="dxa"/>
          <w:bottom w:w="0" w:type="dxa"/>
          <w:right w:w="0" w:type="dxa"/>
        </w:tblCellMar>
      </w:tblPr>
      <w:tblGrid>
        <w:gridCol w:w="4535"/>
        <w:gridCol w:w="60"/>
        <w:gridCol w:w="201"/>
        <w:gridCol w:w="418"/>
        <w:gridCol w:w="76"/>
        <w:gridCol w:w="76"/>
        <w:gridCol w:w="160"/>
        <w:gridCol w:w="889"/>
        <w:gridCol w:w="76"/>
        <w:gridCol w:w="76"/>
        <w:gridCol w:w="160"/>
        <w:gridCol w:w="755"/>
        <w:gridCol w:w="60"/>
        <w:gridCol w:w="60"/>
        <w:gridCol w:w="125"/>
        <w:gridCol w:w="695"/>
        <w:gridCol w:w="60"/>
      </w:tblGrid>
      <w:tr>
        <w:trPr/>
        <w:tc>
          <w:tcPr>
            <w:tcW w:w="4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87" w:type="dxa"/>
            <w:gridSpan w:val="10"/>
            <w:tcBorders/>
            <w:shd w:fill="FFFFFF" w:val="clear"/>
            <w:vAlign w:val="center"/>
          </w:tcPr>
          <w:p>
            <w:pPr>
              <w:pStyle w:val="TableContents"/>
              <w:bidi w:val="0"/>
              <w:spacing w:before="0" w:after="283"/>
              <w:jc w:val="center"/>
              <w:rPr/>
            </w:pPr>
            <w:r>
              <w:rPr>
                <w:rStyle w:val="Emphasis"/>
                <w:rFonts w:ascii="Times New Roman" w:hAnsi="Times New Roman"/>
                <w:b/>
                <w:sz w:val="20"/>
              </w:rPr>
              <w:t>Fair Value Measurements Using: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rStyle w:val="Emphasis"/>
              </w:rPr>
              <w:t> </w:t>
            </w:r>
          </w:p>
        </w:tc>
      </w:tr>
      <w:tr>
        <w:trPr/>
        <w:tc>
          <w:tcPr>
            <w:tcW w:w="453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June 30, 2026</w:t>
            </w:r>
          </w:p>
        </w:tc>
        <w:tc>
          <w:tcPr>
            <w:tcW w:w="60" w:type="dxa"/>
            <w:tcBorders/>
            <w:shd w:fill="FFFFFF" w:val="clear"/>
            <w:vAlign w:val="center"/>
          </w:tcPr>
          <w:p>
            <w:pPr>
              <w:pStyle w:val="TableContents"/>
              <w:bidi w:val="0"/>
              <w:spacing w:before="0" w:after="283"/>
              <w:ind w:left="0" w:right="0" w:hanging="0"/>
              <w:jc w:val="left"/>
              <w:rPr/>
            </w:pPr>
            <w:r>
              <w:rPr/>
              <w:t> </w:t>
            </w:r>
          </w:p>
        </w:tc>
        <w:tc>
          <w:tcPr>
            <w:tcW w:w="6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1</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104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2</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9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60" w:type="dxa"/>
            <w:tcBorders/>
            <w:shd w:fill="FFFFFF" w:val="clear"/>
            <w:vAlign w:val="center"/>
          </w:tcPr>
          <w:p>
            <w:pPr>
              <w:pStyle w:val="TableContents"/>
              <w:bidi w:val="0"/>
              <w:spacing w:before="0" w:after="283"/>
              <w:jc w:val="left"/>
              <w:rPr/>
            </w:pPr>
            <w:r>
              <w:rPr>
                <w:rStyle w:val="Emphasis"/>
              </w:rPr>
              <w:t> </w:t>
            </w:r>
          </w:p>
        </w:tc>
      </w:tr>
      <w:tr>
        <w:trPr/>
        <w:tc>
          <w:tcPr>
            <w:tcW w:w="453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Assets measured at fair value:</w:t>
            </w:r>
          </w:p>
        </w:tc>
        <w:tc>
          <w:tcPr>
            <w:tcW w:w="60" w:type="dxa"/>
            <w:tcBorders/>
            <w:shd w:fill="FFFFFF" w:val="clear"/>
            <w:vAlign w:val="center"/>
          </w:tcPr>
          <w:p>
            <w:pPr>
              <w:pStyle w:val="TableContents"/>
              <w:bidi w:val="0"/>
              <w:spacing w:before="0" w:after="283"/>
              <w:ind w:left="0" w:right="0" w:hanging="0"/>
              <w:jc w:val="left"/>
              <w:rPr/>
            </w:pPr>
            <w:r>
              <w:rPr/>
              <w:t> </w:t>
            </w:r>
          </w:p>
        </w:tc>
        <w:tc>
          <w:tcPr>
            <w:tcW w:w="3887" w:type="dxa"/>
            <w:gridSpan w:val="15"/>
            <w:tcBorders/>
            <w:shd w:fill="FFFFFF" w:val="clear"/>
            <w:vAlign w:val="center"/>
          </w:tcPr>
          <w:p>
            <w:pPr>
              <w:pStyle w:val="TableContents"/>
              <w:bidi w:val="0"/>
              <w:spacing w:before="0" w:after="0"/>
              <w:ind w:left="0" w:right="0" w:hanging="0"/>
              <w:jc w:val="center"/>
              <w:rPr/>
            </w:pPr>
            <w:r>
              <w:rPr>
                <w:rStyle w:val="Emphasis"/>
                <w:rFonts w:ascii="Times New Roman" w:hAnsi="Times New Roman"/>
                <w:b/>
                <w:i/>
                <w:caps w:val="false"/>
                <w:smallCaps w:val="false"/>
                <w:sz w:val="20"/>
              </w:rPr>
              <w:t>(dollars in thousands)</w:t>
            </w:r>
          </w:p>
        </w:tc>
      </w:tr>
      <w:tr>
        <w:trPr/>
        <w:tc>
          <w:tcPr>
            <w:tcW w:w="4535" w:type="dxa"/>
            <w:tcBorders/>
            <w:shd w:fill="CCEEFF" w:val="clear"/>
            <w:vAlign w:val="center"/>
          </w:tcPr>
          <w:p>
            <w:pPr>
              <w:pStyle w:val="TableContents"/>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On a recurring basis:</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418"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0"/>
              <w:ind w:left="180" w:right="0" w:firstLine="180"/>
              <w:jc w:val="left"/>
              <w:rPr>
                <w:rFonts w:ascii="Times New Roman" w:hAnsi="Times New Roman"/>
                <w:caps w:val="false"/>
                <w:smallCaps w:val="false"/>
                <w:sz w:val="20"/>
              </w:rPr>
            </w:pPr>
            <w:r>
              <w:rPr>
                <w:rFonts w:ascii="Times New Roman" w:hAnsi="Times New Roman"/>
                <w:caps w:val="false"/>
                <w:smallCaps w:val="false"/>
                <w:sz w:val="20"/>
              </w:rPr>
              <w:t>Securities available for sale</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0"/>
              <w:ind w:left="360" w:right="0" w:firstLine="180"/>
              <w:jc w:val="left"/>
              <w:rPr>
                <w:rFonts w:ascii="Times New Roman" w:hAnsi="Times New Roman"/>
                <w:caps w:val="false"/>
                <w:smallCaps w:val="false"/>
                <w:sz w:val="20"/>
              </w:rPr>
            </w:pPr>
            <w:r>
              <w:rPr>
                <w:rFonts w:ascii="Times New Roman" w:hAnsi="Times New Roman"/>
                <w:caps w:val="false"/>
                <w:smallCaps w:val="false"/>
                <w:sz w:val="20"/>
              </w:rPr>
              <w:t>Government agency securities</w:t>
            </w:r>
          </w:p>
        </w:tc>
        <w:tc>
          <w:tcPr>
            <w:tcW w:w="60" w:type="dxa"/>
            <w:tcBorders/>
            <w:shd w:fill="CCEEFF" w:val="clear"/>
            <w:vAlign w:val="center"/>
          </w:tcPr>
          <w:p>
            <w:pPr>
              <w:pStyle w:val="TableContents"/>
              <w:bidi w:val="0"/>
              <w:spacing w:before="0" w:after="283"/>
              <w:ind w:left="0" w:right="0" w:hanging="0"/>
              <w:jc w:val="left"/>
              <w:rPr/>
            </w:pPr>
            <w:r>
              <w:rPr/>
              <w:t> </w:t>
            </w:r>
          </w:p>
        </w:tc>
        <w:tc>
          <w:tcPr>
            <w:tcW w:w="20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18" w:type="dxa"/>
            <w:tcBorders/>
            <w:shd w:fill="CCEEFF" w:val="clear"/>
            <w:vAlign w:val="center"/>
          </w:tcPr>
          <w:p>
            <w:pPr>
              <w:pStyle w:val="TableContents"/>
              <w:bidi w:val="0"/>
              <w:spacing w:before="0" w:after="283"/>
              <w:ind w:left="0" w:right="0" w:hanging="0"/>
              <w:jc w:val="right"/>
              <w:rPr/>
            </w:pPr>
            <w:r>
              <w:rPr/>
              <w:t>—</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20,282</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20,282</w:t>
            </w:r>
          </w:p>
        </w:tc>
        <w:tc>
          <w:tcPr>
            <w:tcW w:w="60" w:type="dxa"/>
            <w:tcBorders/>
            <w:shd w:fill="CCEEFF" w:val="clear"/>
            <w:vAlign w:val="center"/>
          </w:tcPr>
          <w:p>
            <w:pPr>
              <w:pStyle w:val="TableContents"/>
              <w:bidi w:val="0"/>
              <w:spacing w:before="0" w:after="283"/>
              <w:jc w:val="left"/>
              <w:rPr/>
            </w:pPr>
            <w:r>
              <w:rPr>
                <w:rStyle w:val="Emphasis"/>
              </w:rPr>
              <w:t> </w:t>
            </w:r>
          </w:p>
        </w:tc>
      </w:tr>
      <w:tr>
        <w:trPr/>
        <w:tc>
          <w:tcPr>
            <w:tcW w:w="4535" w:type="dxa"/>
            <w:tcBorders/>
            <w:shd w:fill="FFFFFF" w:val="clear"/>
            <w:vAlign w:val="center"/>
          </w:tcPr>
          <w:p>
            <w:pPr>
              <w:pStyle w:val="TableContents"/>
              <w:bidi w:val="0"/>
              <w:spacing w:before="0" w:after="0"/>
              <w:ind w:left="360" w:right="0" w:firstLine="180"/>
              <w:jc w:val="left"/>
              <w:rPr>
                <w:rFonts w:ascii="Times New Roman" w:hAnsi="Times New Roman"/>
                <w:caps w:val="false"/>
                <w:smallCaps w:val="false"/>
                <w:sz w:val="20"/>
              </w:rPr>
            </w:pPr>
            <w:r>
              <w:rPr>
                <w:rFonts w:ascii="Times New Roman" w:hAnsi="Times New Roman"/>
                <w:caps w:val="false"/>
                <w:smallCaps w:val="false"/>
                <w:sz w:val="20"/>
              </w:rPr>
              <w:t>SBA agency securities</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418" w:type="dxa"/>
            <w:tcBorders/>
            <w:shd w:fill="FFFFFF" w:val="clear"/>
            <w:vAlign w:val="center"/>
          </w:tcPr>
          <w:p>
            <w:pPr>
              <w:pStyle w:val="TableContents"/>
              <w:bidi w:val="0"/>
              <w:spacing w:before="0" w:after="283"/>
              <w:ind w:left="0" w:right="0" w:hanging="0"/>
              <w:jc w:val="right"/>
              <w:rPr/>
            </w:pPr>
            <w:r>
              <w:rPr/>
              <w:t>—</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8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19,319</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19,319</w:t>
            </w:r>
          </w:p>
        </w:tc>
        <w:tc>
          <w:tcPr>
            <w:tcW w:w="60" w:type="dxa"/>
            <w:tcBorders/>
            <w:shd w:fill="FFFFFF" w:val="clear"/>
            <w:vAlign w:val="center"/>
          </w:tcPr>
          <w:p>
            <w:pPr>
              <w:pStyle w:val="TableContents"/>
              <w:bidi w:val="0"/>
              <w:spacing w:before="0" w:after="283"/>
              <w:jc w:val="left"/>
              <w:rPr/>
            </w:pPr>
            <w:r>
              <w:rPr>
                <w:rStyle w:val="Emphasis"/>
              </w:rPr>
              <w:t> </w:t>
            </w:r>
          </w:p>
        </w:tc>
      </w:tr>
      <w:tr>
        <w:trPr/>
        <w:tc>
          <w:tcPr>
            <w:tcW w:w="4535" w:type="dxa"/>
            <w:tcBorders/>
            <w:shd w:fill="CCEEFF" w:val="clear"/>
            <w:vAlign w:val="center"/>
          </w:tcPr>
          <w:p>
            <w:pPr>
              <w:pStyle w:val="TableContents"/>
              <w:bidi w:val="0"/>
              <w:spacing w:before="0" w:after="0"/>
              <w:ind w:left="360" w:right="0" w:firstLine="180"/>
              <w:jc w:val="left"/>
              <w:rPr>
                <w:rFonts w:ascii="Times New Roman" w:hAnsi="Times New Roman"/>
                <w:caps w:val="false"/>
                <w:smallCaps w:val="false"/>
                <w:sz w:val="20"/>
              </w:rPr>
            </w:pPr>
            <w:r>
              <w:rPr>
                <w:rFonts w:ascii="Times New Roman" w:hAnsi="Times New Roman"/>
                <w:caps w:val="false"/>
                <w:smallCaps w:val="false"/>
                <w:sz w:val="20"/>
              </w:rPr>
              <w:t>Mortgage-backed securities</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418" w:type="dxa"/>
            <w:tcBorders/>
            <w:shd w:fill="CCEEFF" w:val="clear"/>
            <w:vAlign w:val="center"/>
          </w:tcPr>
          <w:p>
            <w:pPr>
              <w:pStyle w:val="TableContents"/>
              <w:bidi w:val="0"/>
              <w:spacing w:before="0" w:after="283"/>
              <w:ind w:left="0" w:right="0" w:hanging="0"/>
              <w:jc w:val="right"/>
              <w:rPr/>
            </w:pPr>
            <w:r>
              <w:rPr/>
              <w:t>—</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8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98,775</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98,775</w:t>
            </w:r>
          </w:p>
        </w:tc>
        <w:tc>
          <w:tcPr>
            <w:tcW w:w="60" w:type="dxa"/>
            <w:tcBorders/>
            <w:shd w:fill="CCEEFF" w:val="clear"/>
            <w:vAlign w:val="center"/>
          </w:tcPr>
          <w:p>
            <w:pPr>
              <w:pStyle w:val="TableContents"/>
              <w:bidi w:val="0"/>
              <w:spacing w:before="0" w:after="283"/>
              <w:jc w:val="left"/>
              <w:rPr/>
            </w:pPr>
            <w:r>
              <w:rPr>
                <w:rStyle w:val="Emphasis"/>
              </w:rPr>
              <w:t> </w:t>
            </w:r>
          </w:p>
        </w:tc>
      </w:tr>
      <w:tr>
        <w:trPr/>
        <w:tc>
          <w:tcPr>
            <w:tcW w:w="4535" w:type="dxa"/>
            <w:tcBorders/>
            <w:shd w:fill="FFFFFF" w:val="clear"/>
            <w:vAlign w:val="center"/>
          </w:tcPr>
          <w:p>
            <w:pPr>
              <w:pStyle w:val="TableContents"/>
              <w:bidi w:val="0"/>
              <w:spacing w:before="0" w:after="0"/>
              <w:ind w:left="360" w:right="0" w:firstLine="180"/>
              <w:jc w:val="left"/>
              <w:rPr>
                <w:rFonts w:ascii="Times New Roman" w:hAnsi="Times New Roman"/>
                <w:caps w:val="false"/>
                <w:smallCaps w:val="false"/>
                <w:sz w:val="20"/>
              </w:rPr>
            </w:pPr>
            <w:r>
              <w:rPr>
                <w:rFonts w:ascii="Times New Roman" w:hAnsi="Times New Roman"/>
                <w:caps w:val="false"/>
                <w:smallCaps w:val="false"/>
                <w:sz w:val="20"/>
              </w:rPr>
              <w:t>Collateralized mortgage obligations</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418" w:type="dxa"/>
            <w:tcBorders/>
            <w:shd w:fill="FFFFFF" w:val="clear"/>
            <w:vAlign w:val="center"/>
          </w:tcPr>
          <w:p>
            <w:pPr>
              <w:pStyle w:val="TableContents"/>
              <w:bidi w:val="0"/>
              <w:spacing w:before="0" w:after="283"/>
              <w:ind w:left="0" w:right="0" w:hanging="0"/>
              <w:jc w:val="right"/>
              <w:rPr/>
            </w:pPr>
            <w:r>
              <w:rPr/>
              <w:t>—</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8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185,902</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185,902</w:t>
            </w:r>
          </w:p>
        </w:tc>
        <w:tc>
          <w:tcPr>
            <w:tcW w:w="60" w:type="dxa"/>
            <w:tcBorders/>
            <w:shd w:fill="FFFFFF" w:val="clear"/>
            <w:vAlign w:val="center"/>
          </w:tcPr>
          <w:p>
            <w:pPr>
              <w:pStyle w:val="TableContents"/>
              <w:bidi w:val="0"/>
              <w:spacing w:before="0" w:after="283"/>
              <w:jc w:val="left"/>
              <w:rPr/>
            </w:pPr>
            <w:r>
              <w:rPr>
                <w:rStyle w:val="Emphasis"/>
              </w:rPr>
              <w:t> </w:t>
            </w:r>
          </w:p>
        </w:tc>
      </w:tr>
      <w:tr>
        <w:trPr/>
        <w:tc>
          <w:tcPr>
            <w:tcW w:w="4535" w:type="dxa"/>
            <w:tcBorders/>
            <w:shd w:fill="CCEEFF" w:val="clear"/>
            <w:vAlign w:val="center"/>
          </w:tcPr>
          <w:p>
            <w:pPr>
              <w:pStyle w:val="TableContents"/>
              <w:bidi w:val="0"/>
              <w:spacing w:before="0" w:after="0"/>
              <w:ind w:left="360" w:right="0" w:firstLine="180"/>
              <w:jc w:val="left"/>
              <w:rPr>
                <w:rFonts w:ascii="Times New Roman" w:hAnsi="Times New Roman"/>
                <w:caps w:val="false"/>
                <w:smallCaps w:val="false"/>
                <w:sz w:val="20"/>
              </w:rPr>
            </w:pPr>
            <w:r>
              <w:rPr>
                <w:rFonts w:ascii="Times New Roman" w:hAnsi="Times New Roman"/>
                <w:caps w:val="false"/>
                <w:smallCaps w:val="false"/>
                <w:sz w:val="20"/>
              </w:rPr>
              <w:t>Commercial paper</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418" w:type="dxa"/>
            <w:tcBorders/>
            <w:shd w:fill="CCEEFF" w:val="clear"/>
            <w:vAlign w:val="center"/>
          </w:tcPr>
          <w:p>
            <w:pPr>
              <w:pStyle w:val="TableContents"/>
              <w:bidi w:val="0"/>
              <w:spacing w:before="0" w:after="283"/>
              <w:ind w:left="0" w:right="0" w:hanging="0"/>
              <w:jc w:val="right"/>
              <w:rPr/>
            </w:pPr>
            <w:r>
              <w:rPr/>
              <w:t>—</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8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49,663</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49,663</w:t>
            </w:r>
          </w:p>
        </w:tc>
        <w:tc>
          <w:tcPr>
            <w:tcW w:w="60" w:type="dxa"/>
            <w:tcBorders/>
            <w:shd w:fill="CCEEFF" w:val="clear"/>
            <w:vAlign w:val="center"/>
          </w:tcPr>
          <w:p>
            <w:pPr>
              <w:pStyle w:val="TableContents"/>
              <w:bidi w:val="0"/>
              <w:spacing w:before="0" w:after="283"/>
              <w:jc w:val="left"/>
              <w:rPr/>
            </w:pPr>
            <w:r>
              <w:rPr>
                <w:rStyle w:val="Emphasis"/>
              </w:rPr>
              <w:t> </w:t>
            </w:r>
          </w:p>
        </w:tc>
      </w:tr>
      <w:tr>
        <w:trPr/>
        <w:tc>
          <w:tcPr>
            <w:tcW w:w="4535" w:type="dxa"/>
            <w:tcBorders/>
            <w:shd w:fill="FFFFFF" w:val="clear"/>
            <w:vAlign w:val="center"/>
          </w:tcPr>
          <w:p>
            <w:pPr>
              <w:pStyle w:val="TableContents"/>
              <w:bidi w:val="0"/>
              <w:spacing w:before="0" w:after="0"/>
              <w:ind w:left="360" w:right="0" w:firstLine="180"/>
              <w:jc w:val="left"/>
              <w:rPr>
                <w:rFonts w:ascii="Times New Roman" w:hAnsi="Times New Roman"/>
                <w:caps w:val="false"/>
                <w:smallCaps w:val="false"/>
                <w:sz w:val="20"/>
              </w:rPr>
            </w:pPr>
            <w:r>
              <w:rPr>
                <w:rFonts w:ascii="Times New Roman" w:hAnsi="Times New Roman"/>
                <w:caps w:val="false"/>
                <w:smallCaps w:val="false"/>
                <w:sz w:val="20"/>
              </w:rPr>
              <w:t>Corporate debt securities</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418" w:type="dxa"/>
            <w:tcBorders/>
            <w:shd w:fill="FFFFFF" w:val="clear"/>
            <w:vAlign w:val="center"/>
          </w:tcPr>
          <w:p>
            <w:pPr>
              <w:pStyle w:val="TableContents"/>
              <w:bidi w:val="0"/>
              <w:spacing w:before="0" w:after="283"/>
              <w:ind w:left="0" w:right="0" w:hanging="0"/>
              <w:jc w:val="right"/>
              <w:rPr/>
            </w:pPr>
            <w:r>
              <w:rPr/>
              <w:t>—</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8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23,462</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23,462</w:t>
            </w:r>
          </w:p>
        </w:tc>
        <w:tc>
          <w:tcPr>
            <w:tcW w:w="60" w:type="dxa"/>
            <w:tcBorders/>
            <w:shd w:fill="FFFFFF" w:val="clear"/>
            <w:vAlign w:val="center"/>
          </w:tcPr>
          <w:p>
            <w:pPr>
              <w:pStyle w:val="TableContents"/>
              <w:bidi w:val="0"/>
              <w:spacing w:before="0" w:after="283"/>
              <w:jc w:val="left"/>
              <w:rPr/>
            </w:pPr>
            <w:r>
              <w:rPr>
                <w:rStyle w:val="Emphasis"/>
              </w:rPr>
              <w:t> </w:t>
            </w:r>
          </w:p>
        </w:tc>
      </w:tr>
      <w:tr>
        <w:trPr/>
        <w:tc>
          <w:tcPr>
            <w:tcW w:w="4535" w:type="dxa"/>
            <w:tcBorders/>
            <w:shd w:fill="CCEEFF" w:val="clear"/>
            <w:vAlign w:val="center"/>
          </w:tcPr>
          <w:p>
            <w:pPr>
              <w:pStyle w:val="TableContents"/>
              <w:bidi w:val="0"/>
              <w:spacing w:before="0" w:after="0"/>
              <w:ind w:left="360" w:right="0" w:firstLine="180"/>
              <w:jc w:val="left"/>
              <w:rPr>
                <w:rFonts w:ascii="Times New Roman" w:hAnsi="Times New Roman"/>
                <w:caps w:val="false"/>
                <w:smallCaps w:val="false"/>
                <w:sz w:val="20"/>
              </w:rPr>
            </w:pPr>
            <w:r>
              <w:rPr>
                <w:rFonts w:ascii="Times New Roman" w:hAnsi="Times New Roman"/>
                <w:caps w:val="false"/>
                <w:smallCaps w:val="false"/>
                <w:sz w:val="20"/>
              </w:rPr>
              <w:t>Municipal securities</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9,757</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9,757</w:t>
            </w:r>
          </w:p>
        </w:tc>
        <w:tc>
          <w:tcPr>
            <w:tcW w:w="60" w:type="dxa"/>
            <w:tcBorders/>
            <w:shd w:fill="CCEEFF" w:val="clear"/>
            <w:vAlign w:val="center"/>
          </w:tcPr>
          <w:p>
            <w:pPr>
              <w:pStyle w:val="TableContents"/>
              <w:bidi w:val="0"/>
              <w:spacing w:before="0" w:after="283"/>
              <w:jc w:val="left"/>
              <w:rPr/>
            </w:pPr>
            <w:r>
              <w:rPr>
                <w:rStyle w:val="Emphasis"/>
              </w:rPr>
              <w:t> </w:t>
            </w:r>
          </w:p>
        </w:tc>
      </w:tr>
      <w:tr>
        <w:trPr/>
        <w:tc>
          <w:tcPr>
            <w:tcW w:w="4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1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407,160</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407,160</w:t>
            </w:r>
          </w:p>
        </w:tc>
        <w:tc>
          <w:tcPr>
            <w:tcW w:w="60" w:type="dxa"/>
            <w:tcBorders/>
            <w:shd w:fill="FFFFFF" w:val="clear"/>
            <w:vAlign w:val="center"/>
          </w:tcPr>
          <w:p>
            <w:pPr>
              <w:pStyle w:val="TableContents"/>
              <w:bidi w:val="0"/>
              <w:spacing w:before="0" w:after="283"/>
              <w:jc w:val="left"/>
              <w:rPr/>
            </w:pPr>
            <w:r>
              <w:rPr>
                <w:rStyle w:val="Emphasis"/>
              </w:rPr>
              <w:t> </w:t>
            </w:r>
          </w:p>
        </w:tc>
      </w:tr>
      <w:tr>
        <w:trPr/>
        <w:tc>
          <w:tcPr>
            <w:tcW w:w="4535" w:type="dxa"/>
            <w:tcBorders/>
            <w:shd w:fill="CCEEFF" w:val="clear"/>
            <w:vAlign w:val="center"/>
          </w:tcPr>
          <w:p>
            <w:pPr>
              <w:pStyle w:val="TableContents"/>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On a non-recurring basis:</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418"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Collateral dependent individually evaluated loans:</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0"/>
              <w:ind w:left="0" w:right="0" w:firstLine="540"/>
              <w:jc w:val="left"/>
              <w:rPr>
                <w:rFonts w:ascii="Times New Roman" w:hAnsi="Times New Roman"/>
                <w:sz w:val="20"/>
              </w:rPr>
            </w:pPr>
            <w:r>
              <w:rPr>
                <w:rFonts w:ascii="Times New Roman" w:hAnsi="Times New Roman"/>
                <w:sz w:val="20"/>
              </w:rPr>
              <w:t>Commercial real estate loans</w:t>
            </w:r>
          </w:p>
        </w:tc>
        <w:tc>
          <w:tcPr>
            <w:tcW w:w="60" w:type="dxa"/>
            <w:tcBorders/>
            <w:shd w:fill="CCEEFF" w:val="clear"/>
            <w:vAlign w:val="center"/>
          </w:tcPr>
          <w:p>
            <w:pPr>
              <w:pStyle w:val="TableContents"/>
              <w:bidi w:val="0"/>
              <w:spacing w:before="0" w:after="283"/>
              <w:ind w:left="0" w:right="0" w:hanging="0"/>
              <w:jc w:val="left"/>
              <w:rPr/>
            </w:pPr>
            <w:r>
              <w:rPr/>
              <w:t> </w:t>
            </w:r>
          </w:p>
        </w:tc>
        <w:tc>
          <w:tcPr>
            <w:tcW w:w="20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418" w:type="dxa"/>
            <w:tcBorders/>
            <w:shd w:fill="CCEEFF" w:val="clear"/>
            <w:vAlign w:val="center"/>
          </w:tcPr>
          <w:p>
            <w:pPr>
              <w:pStyle w:val="TableContents"/>
              <w:bidi w:val="0"/>
              <w:spacing w:before="0" w:after="0"/>
              <w:jc w:val="right"/>
              <w:rPr/>
            </w:pPr>
            <w:r>
              <w:rPr/>
              <w:t>—</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89" w:type="dxa"/>
            <w:tcBorders/>
            <w:shd w:fill="CCEEFF" w:val="clear"/>
            <w:vAlign w:val="center"/>
          </w:tcPr>
          <w:p>
            <w:pPr>
              <w:pStyle w:val="TableContents"/>
              <w:bidi w:val="0"/>
              <w:spacing w:before="0" w:after="0"/>
              <w:jc w:val="right"/>
              <w:rPr/>
            </w:pPr>
            <w:r>
              <w:rPr/>
              <w:t>—</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3,057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3,057</w:t>
            </w:r>
          </w:p>
        </w:tc>
        <w:tc>
          <w:tcPr>
            <w:tcW w:w="60" w:type="dxa"/>
            <w:tcBorders/>
            <w:shd w:fill="CCEEFF" w:val="clear"/>
            <w:vAlign w:val="center"/>
          </w:tcPr>
          <w:p>
            <w:pPr>
              <w:pStyle w:val="TableContents"/>
              <w:bidi w:val="0"/>
              <w:spacing w:before="0" w:after="283"/>
              <w:jc w:val="left"/>
              <w:rPr/>
            </w:pPr>
            <w:r>
              <w:rPr>
                <w:rStyle w:val="Emphasis"/>
              </w:rPr>
              <w:t> </w:t>
            </w:r>
          </w:p>
        </w:tc>
      </w:tr>
      <w:tr>
        <w:trPr/>
        <w:tc>
          <w:tcPr>
            <w:tcW w:w="4535" w:type="dxa"/>
            <w:tcBorders/>
            <w:shd w:fill="FFFFFF" w:val="clear"/>
            <w:vAlign w:val="center"/>
          </w:tcPr>
          <w:p>
            <w:pPr>
              <w:pStyle w:val="TableContents"/>
              <w:bidi w:val="0"/>
              <w:spacing w:before="0" w:after="0"/>
              <w:ind w:left="0" w:right="0" w:firstLine="540"/>
              <w:jc w:val="left"/>
              <w:rPr>
                <w:rFonts w:ascii="Times New Roman" w:hAnsi="Times New Roman"/>
                <w:sz w:val="20"/>
              </w:rPr>
            </w:pPr>
            <w:r>
              <w:rPr>
                <w:rFonts w:ascii="Times New Roman" w:hAnsi="Times New Roman"/>
                <w:sz w:val="20"/>
              </w:rPr>
              <w:t>Commercial and industrial loans</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jc w:val="right"/>
              <w:rPr/>
            </w:pPr>
            <w:r>
              <w:rPr/>
              <w:t>—</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pPr>
            <w:r>
              <w:rPr/>
              <w:t>—</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4,708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4,708</w:t>
            </w:r>
          </w:p>
        </w:tc>
        <w:tc>
          <w:tcPr>
            <w:tcW w:w="60" w:type="dxa"/>
            <w:tcBorders/>
            <w:shd w:fill="FFFFFF" w:val="clear"/>
            <w:vAlign w:val="center"/>
          </w:tcPr>
          <w:p>
            <w:pPr>
              <w:pStyle w:val="TableContents"/>
              <w:bidi w:val="0"/>
              <w:spacing w:before="0" w:after="283"/>
              <w:jc w:val="left"/>
              <w:rPr/>
            </w:pPr>
            <w:r>
              <w:rPr>
                <w:rStyle w:val="Emphasis"/>
              </w:rPr>
              <w:t> </w:t>
            </w:r>
          </w:p>
        </w:tc>
      </w:tr>
      <w:tr>
        <w:trPr/>
        <w:tc>
          <w:tcPr>
            <w:tcW w:w="4535" w:type="dxa"/>
            <w:tcBorders/>
            <w:shd w:fill="CCEEFF" w:val="clear"/>
            <w:vAlign w:val="center"/>
          </w:tcPr>
          <w:p>
            <w:pPr>
              <w:pStyle w:val="TableContents"/>
              <w:bidi w:val="0"/>
              <w:spacing w:before="0" w:after="0"/>
              <w:ind w:left="0" w:right="0" w:firstLine="540"/>
              <w:jc w:val="left"/>
              <w:rPr>
                <w:rFonts w:ascii="Times New Roman" w:hAnsi="Times New Roman"/>
                <w:sz w:val="20"/>
              </w:rPr>
            </w:pPr>
            <w:r>
              <w:rPr>
                <w:rFonts w:ascii="Times New Roman" w:hAnsi="Times New Roman"/>
                <w:sz w:val="20"/>
              </w:rPr>
              <w:t>SBA loans</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418" w:type="dxa"/>
            <w:tcBorders/>
            <w:shd w:fill="CCEEFF" w:val="clear"/>
            <w:vAlign w:val="center"/>
          </w:tcPr>
          <w:p>
            <w:pPr>
              <w:pStyle w:val="TableContents"/>
              <w:bidi w:val="0"/>
              <w:spacing w:before="0" w:after="283"/>
              <w:jc w:val="right"/>
              <w:rPr/>
            </w:pPr>
            <w:r>
              <w:rPr/>
              <w:t>—</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89" w:type="dxa"/>
            <w:tcBorders/>
            <w:shd w:fill="CCEEFF" w:val="clear"/>
            <w:vAlign w:val="center"/>
          </w:tcPr>
          <w:p>
            <w:pPr>
              <w:pStyle w:val="TableContents"/>
              <w:bidi w:val="0"/>
              <w:spacing w:before="0" w:after="283"/>
              <w:jc w:val="right"/>
              <w:rPr/>
            </w:pPr>
            <w:r>
              <w:rPr/>
              <w:t>—</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883</w:t>
            </w:r>
          </w:p>
        </w:tc>
        <w:tc>
          <w:tcPr>
            <w:tcW w:w="60" w:type="dxa"/>
            <w:tcBorders/>
            <w:shd w:fill="CCEEFF" w:val="clear"/>
            <w:vAlign w:val="center"/>
          </w:tcPr>
          <w:p>
            <w:pPr>
              <w:pStyle w:val="TableContents"/>
              <w:bidi w:val="0"/>
              <w:spacing w:before="0" w:after="283"/>
              <w:jc w:val="left"/>
              <w:rPr/>
            </w:pPr>
            <w:r>
              <w:rPr>
                <w:rStyle w:val="Emphasis"/>
              </w:rPr>
              <w:t> </w:t>
            </w:r>
          </w:p>
        </w:tc>
      </w:tr>
      <w:tr>
        <w:trPr/>
        <w:tc>
          <w:tcPr>
            <w:tcW w:w="4535" w:type="dxa"/>
            <w:tcBorders/>
            <w:shd w:fill="FFFFFF" w:val="clear"/>
            <w:vAlign w:val="center"/>
          </w:tcPr>
          <w:p>
            <w:pPr>
              <w:pStyle w:val="TableContents"/>
              <w:bidi w:val="0"/>
              <w:spacing w:lineRule="auto" w:line="288" w:before="0" w:after="0"/>
              <w:ind w:left="0" w:right="0" w:firstLine="360"/>
              <w:jc w:val="left"/>
              <w:rPr>
                <w:rFonts w:ascii="Times New Roman" w:hAnsi="Times New Roman"/>
                <w:sz w:val="20"/>
              </w:rPr>
            </w:pPr>
            <w:r>
              <w:rPr>
                <w:rFonts w:ascii="Times New Roman" w:hAnsi="Times New Roman"/>
                <w:sz w:val="20"/>
              </w:rPr>
              <w:t>Other real estate owned (1)</w:t>
            </w:r>
          </w:p>
        </w:tc>
        <w:tc>
          <w:tcPr>
            <w:tcW w:w="60" w:type="dxa"/>
            <w:tcBorders/>
            <w:shd w:fill="FFFFFF" w:val="clear"/>
            <w:vAlign w:val="center"/>
          </w:tcPr>
          <w:p>
            <w:pPr>
              <w:pStyle w:val="TableContents"/>
              <w:bidi w:val="0"/>
              <w:spacing w:before="0" w:after="283"/>
              <w:ind w:left="0" w:right="0" w:hanging="0"/>
              <w:jc w:val="left"/>
              <w:rPr/>
            </w:pPr>
            <w:r>
              <w:rPr/>
              <w:t> </w:t>
            </w:r>
          </w:p>
        </w:tc>
        <w:tc>
          <w:tcPr>
            <w:tcW w:w="20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18"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89"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19,820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19,820</w:t>
            </w:r>
          </w:p>
        </w:tc>
        <w:tc>
          <w:tcPr>
            <w:tcW w:w="60" w:type="dxa"/>
            <w:tcBorders/>
            <w:shd w:fill="FFFFFF" w:val="clear"/>
            <w:vAlign w:val="center"/>
          </w:tcPr>
          <w:p>
            <w:pPr>
              <w:pStyle w:val="TableContents"/>
              <w:bidi w:val="0"/>
              <w:spacing w:before="0" w:after="283"/>
              <w:ind w:left="0" w:right="0" w:hanging="0"/>
              <w:jc w:val="left"/>
              <w:rPr/>
            </w:pPr>
            <w:r>
              <w:rPr>
                <w:rStyle w:val="Emphasis"/>
              </w:rPr>
              <w:t> </w:t>
            </w:r>
          </w:p>
        </w:tc>
      </w:tr>
      <w:tr>
        <w:trPr/>
        <w:tc>
          <w:tcPr>
            <w:tcW w:w="453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418" w:type="dxa"/>
            <w:tcBorders>
              <w:bottom w:val="double" w:sz="6" w:space="0" w:color="000000"/>
            </w:tcBorders>
            <w:shd w:fill="CCEEFF" w:val="clear"/>
            <w:tcMar>
              <w:bottom w:w="28" w:type="dxa"/>
            </w:tcMar>
            <w:vAlign w:val="center"/>
          </w:tcPr>
          <w:p>
            <w:pPr>
              <w:pStyle w:val="TableContents"/>
              <w:bidi w:val="0"/>
              <w:spacing w:before="0" w:after="0"/>
              <w:jc w:val="right"/>
              <w:rPr/>
            </w:pPr>
            <w:r>
              <w:rPr/>
              <w:t>—</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89" w:type="dxa"/>
            <w:tcBorders>
              <w:bottom w:val="double" w:sz="6" w:space="0" w:color="000000"/>
            </w:tcBorders>
            <w:shd w:fill="CCEEFF" w:val="clear"/>
            <w:tcMar>
              <w:bottom w:w="28" w:type="dxa"/>
            </w:tcMar>
            <w:vAlign w:val="center"/>
          </w:tcPr>
          <w:p>
            <w:pPr>
              <w:pStyle w:val="TableContents"/>
              <w:bidi w:val="0"/>
              <w:spacing w:before="0" w:after="0"/>
              <w:jc w:val="right"/>
              <w:rPr/>
            </w:pPr>
            <w:r>
              <w:rPr/>
              <w:t>—</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28,468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28,468</w:t>
            </w:r>
          </w:p>
        </w:tc>
        <w:tc>
          <w:tcPr>
            <w:tcW w:w="60" w:type="dxa"/>
            <w:tcBorders/>
            <w:shd w:fill="CCEEFF" w:val="clear"/>
            <w:vAlign w:val="center"/>
          </w:tcPr>
          <w:p>
            <w:pPr>
              <w:pStyle w:val="TableContents"/>
              <w:bidi w:val="0"/>
              <w:spacing w:before="0" w:after="283"/>
              <w:jc w:val="left"/>
              <w:rPr/>
            </w:pPr>
            <w:r>
              <w:rPr>
                <w:rStyle w:val="Emphasis"/>
              </w:rPr>
              <w:t> </w:t>
            </w:r>
          </w:p>
        </w:tc>
      </w:tr>
    </w:tbl>
    <w:p>
      <w:pPr>
        <w:pStyle w:val="TextBody"/>
        <w:bidi w:val="0"/>
        <w:spacing w:before="0" w:after="0"/>
        <w:ind w:left="0" w:right="0" w:hanging="0"/>
        <w:jc w:val="left"/>
        <w:rPr/>
      </w:pPr>
      <w:r>
        <w:rPr>
          <w:rFonts w:ascii="Times New Roman" w:hAnsi="Times New Roman"/>
          <w:caps w:val="false"/>
          <w:smallCaps w:val="false"/>
          <w:sz w:val="18"/>
        </w:rPr>
        <w:t>(</w:t>
      </w:r>
      <w:r>
        <w:rPr>
          <w:rStyle w:val="Emphasis"/>
          <w:rFonts w:ascii="Times New Roman" w:hAnsi="Times New Roman"/>
          <w:caps w:val="false"/>
          <w:smallCaps w:val="false"/>
          <w:sz w:val="18"/>
        </w:rPr>
        <w:t>1</w:t>
      </w:r>
      <w:r>
        <w:rPr>
          <w:rFonts w:ascii="Times New Roman" w:hAnsi="Times New Roman"/>
          <w:caps w:val="false"/>
          <w:smallCaps w:val="false"/>
          <w:sz w:val="18"/>
        </w:rPr>
        <w:t>) Included in “Accrued interest and other assets” on the consolidated balance sheets.</w:t>
      </w:r>
    </w:p>
    <w:p>
      <w:pPr>
        <w:pStyle w:val="TextBody"/>
        <w:bidi w:val="0"/>
        <w:spacing w:before="0" w:after="0"/>
        <w:ind w:left="0" w:right="0" w:hanging="0"/>
        <w:jc w:val="left"/>
        <w:rPr>
          <w:caps w:val="false"/>
          <w:smallCaps w:val="false"/>
        </w:rPr>
      </w:pPr>
      <w:r>
        <w:rPr>
          <w:caps w:val="false"/>
          <w:smallCaps w:val="false"/>
        </w:rPr>
        <w:t> </w:t>
      </w:r>
    </w:p>
    <w:tbl>
      <w:tblPr>
        <w:tblW w:w="7989" w:type="dxa"/>
        <w:jc w:val="left"/>
        <w:tblInd w:w="0" w:type="dxa"/>
        <w:tblLayout w:type="fixed"/>
        <w:tblCellMar>
          <w:top w:w="0" w:type="dxa"/>
          <w:left w:w="0" w:type="dxa"/>
          <w:bottom w:w="28" w:type="dxa"/>
          <w:right w:w="0" w:type="dxa"/>
        </w:tblCellMar>
      </w:tblPr>
      <w:tblGrid>
        <w:gridCol w:w="4535"/>
        <w:gridCol w:w="60"/>
        <w:gridCol w:w="200"/>
        <w:gridCol w:w="419"/>
        <w:gridCol w:w="60"/>
        <w:gridCol w:w="60"/>
        <w:gridCol w:w="125"/>
        <w:gridCol w:w="695"/>
        <w:gridCol w:w="60"/>
        <w:gridCol w:w="60"/>
        <w:gridCol w:w="125"/>
        <w:gridCol w:w="590"/>
        <w:gridCol w:w="60"/>
        <w:gridCol w:w="60"/>
        <w:gridCol w:w="125"/>
        <w:gridCol w:w="695"/>
        <w:gridCol w:w="60"/>
      </w:tblGrid>
      <w:tr>
        <w:trPr/>
        <w:tc>
          <w:tcPr>
            <w:tcW w:w="453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2025</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19"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Level 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Level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Level 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53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 measured at fair value: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41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535"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On a recurring basis: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41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535" w:type="dxa"/>
            <w:tcBorders/>
            <w:shd w:fill="FFFFFF" w:val="clear"/>
            <w:tcMar>
              <w:bottom w:w="0" w:type="dxa"/>
            </w:tcMar>
            <w:vAlign w:val="center"/>
          </w:tcPr>
          <w:p>
            <w:pPr>
              <w:pStyle w:val="TableContents"/>
              <w:bidi w:val="0"/>
              <w:spacing w:before="0" w:after="0"/>
              <w:ind w:left="18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Securities available for sale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41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535" w:type="dxa"/>
            <w:tcBorders/>
            <w:shd w:fill="CCEEFF" w:val="clear"/>
            <w:tcMar>
              <w:bottom w:w="0" w:type="dxa"/>
            </w:tcMar>
            <w:vAlign w:val="center"/>
          </w:tcPr>
          <w:p>
            <w:pPr>
              <w:pStyle w:val="TableContents"/>
              <w:bidi w:val="0"/>
              <w:spacing w:before="0" w:after="0"/>
              <w:ind w:left="36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Government agency securities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0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19"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22,705</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535" w:type="dxa"/>
            <w:tcBorders/>
            <w:shd w:fill="FFFFFF" w:val="clear"/>
            <w:tcMar>
              <w:bottom w:w="0" w:type="dxa"/>
            </w:tcMar>
            <w:vAlign w:val="center"/>
          </w:tcPr>
          <w:p>
            <w:pPr>
              <w:pStyle w:val="TableContents"/>
              <w:bidi w:val="0"/>
              <w:spacing w:before="0" w:after="0"/>
              <w:ind w:left="36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SBA agency securities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ind w:left="0" w:right="0" w:hanging="0"/>
              <w:jc w:val="left"/>
              <w:rPr/>
            </w:pPr>
            <w:r>
              <w:rPr/>
              <w:t> </w:t>
            </w:r>
          </w:p>
        </w:tc>
        <w:tc>
          <w:tcPr>
            <w:tcW w:w="419"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21,180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21,180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535" w:type="dxa"/>
            <w:tcBorders/>
            <w:shd w:fill="CCEEFF" w:val="clear"/>
            <w:tcMar>
              <w:bottom w:w="0" w:type="dxa"/>
            </w:tcMar>
            <w:vAlign w:val="center"/>
          </w:tcPr>
          <w:p>
            <w:pPr>
              <w:pStyle w:val="TableContents"/>
              <w:bidi w:val="0"/>
              <w:spacing w:before="0" w:after="0"/>
              <w:ind w:left="36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Mortgage-backed securities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ind w:left="0" w:right="0" w:hanging="0"/>
              <w:jc w:val="left"/>
              <w:rPr/>
            </w:pPr>
            <w:r>
              <w:rPr/>
              <w:t> </w:t>
            </w:r>
          </w:p>
        </w:tc>
        <w:tc>
          <w:tcPr>
            <w:tcW w:w="419"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92,155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92,155</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535" w:type="dxa"/>
            <w:tcBorders/>
            <w:shd w:fill="FFFFFF" w:val="clear"/>
            <w:tcMar>
              <w:bottom w:w="0" w:type="dxa"/>
            </w:tcMar>
            <w:vAlign w:val="center"/>
          </w:tcPr>
          <w:p>
            <w:pPr>
              <w:pStyle w:val="TableContents"/>
              <w:bidi w:val="0"/>
              <w:spacing w:before="0" w:after="0"/>
              <w:ind w:left="36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Collateralized mortgage obligations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ind w:left="0" w:right="0" w:hanging="0"/>
              <w:jc w:val="left"/>
              <w:rPr/>
            </w:pPr>
            <w:r>
              <w:rPr/>
              <w:t> </w:t>
            </w:r>
          </w:p>
        </w:tc>
        <w:tc>
          <w:tcPr>
            <w:tcW w:w="419"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213,272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213,272</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535" w:type="dxa"/>
            <w:tcBorders/>
            <w:shd w:fill="CCEEFF" w:val="clear"/>
            <w:tcMar>
              <w:bottom w:w="0" w:type="dxa"/>
            </w:tcMar>
            <w:vAlign w:val="center"/>
          </w:tcPr>
          <w:p>
            <w:pPr>
              <w:pStyle w:val="TableContents"/>
              <w:bidi w:val="0"/>
              <w:spacing w:before="0" w:after="0"/>
              <w:ind w:left="36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paper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ind w:left="0" w:right="0" w:hanging="0"/>
              <w:jc w:val="left"/>
              <w:rPr/>
            </w:pPr>
            <w:r>
              <w:rPr/>
              <w:t> </w:t>
            </w:r>
          </w:p>
        </w:tc>
        <w:tc>
          <w:tcPr>
            <w:tcW w:w="419"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19,948</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535" w:type="dxa"/>
            <w:tcBorders/>
            <w:shd w:fill="FFFFFF" w:val="clear"/>
            <w:tcMar>
              <w:bottom w:w="0" w:type="dxa"/>
            </w:tcMar>
            <w:vAlign w:val="center"/>
          </w:tcPr>
          <w:p>
            <w:pPr>
              <w:pStyle w:val="TableContents"/>
              <w:bidi w:val="0"/>
              <w:spacing w:before="0" w:after="0"/>
              <w:ind w:left="36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debt securities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ind w:left="0" w:right="0" w:hanging="0"/>
              <w:jc w:val="left"/>
              <w:rPr/>
            </w:pPr>
            <w:r>
              <w:rPr/>
              <w:t> </w:t>
            </w:r>
          </w:p>
        </w:tc>
        <w:tc>
          <w:tcPr>
            <w:tcW w:w="419"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28,429</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535" w:type="dxa"/>
            <w:tcBorders/>
            <w:shd w:fill="CCEEFF" w:val="clear"/>
            <w:tcMar>
              <w:bottom w:w="0" w:type="dxa"/>
            </w:tcMar>
            <w:vAlign w:val="center"/>
          </w:tcPr>
          <w:p>
            <w:pPr>
              <w:pStyle w:val="TableContents"/>
              <w:bidi w:val="0"/>
              <w:spacing w:before="0" w:after="0"/>
              <w:ind w:left="36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Municipal securities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ind w:left="0" w:right="0" w:hanging="0"/>
              <w:jc w:val="left"/>
              <w:rPr/>
            </w:pPr>
            <w:r>
              <w:rPr/>
              <w:t> </w:t>
            </w:r>
          </w:p>
        </w:tc>
        <w:tc>
          <w:tcPr>
            <w:tcW w:w="419"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9,515</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535" w:type="dxa"/>
            <w:tcBorders/>
            <w:shd w:fill="FFFFFF" w:val="clear"/>
            <w:tcMar>
              <w:bottom w:w="0" w:type="dxa"/>
            </w:tcMar>
            <w:vAlign w:val="center"/>
          </w:tcPr>
          <w:p>
            <w:pPr>
              <w:pStyle w:val="TableContents"/>
              <w:bidi w:val="0"/>
              <w:spacing w:lineRule="auto" w:line="288"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Forward mortgage loan sale contracts (1)</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0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419" w:type="dxa"/>
            <w:tcBorders>
              <w:bottom w:val="single" w:sz="2" w:space="0" w:color="000000"/>
            </w:tcBorders>
            <w:shd w:fill="FFFFFF" w:val="clear"/>
            <w:vAlign w:val="center"/>
          </w:tcPr>
          <w:p>
            <w:pPr>
              <w:pStyle w:val="TableContents"/>
              <w:bidi w:val="0"/>
              <w:spacing w:before="0" w:after="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vAlign w:val="center"/>
          </w:tcPr>
          <w:p>
            <w:pPr>
              <w:pStyle w:val="TableContents"/>
              <w:bidi w:val="0"/>
              <w:spacing w:before="0" w:after="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5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0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19" w:type="dxa"/>
            <w:tcBorders>
              <w:bottom w:val="double" w:sz="6" w:space="0" w:color="000000"/>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407,204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407,215</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535"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On a non-recurring basis: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41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5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535" w:type="dxa"/>
            <w:tcBorders/>
            <w:shd w:fill="CCEEFF" w:val="clear"/>
            <w:tcMar>
              <w:bottom w:w="0" w:type="dxa"/>
            </w:tcM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Collateral dependent individually evaluated loans: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41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535" w:type="dxa"/>
            <w:tcBorders/>
            <w:shd w:fill="FFFFFF" w:val="clear"/>
            <w:tcMar>
              <w:bottom w:w="0" w:type="dxa"/>
            </w:tcMar>
            <w:vAlign w:val="center"/>
          </w:tcPr>
          <w:p>
            <w:pPr>
              <w:pStyle w:val="TableContents"/>
              <w:bidi w:val="0"/>
              <w:spacing w:before="0" w:after="0"/>
              <w:ind w:left="36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real estate loans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0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19"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3,071</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535" w:type="dxa"/>
            <w:tcBorders/>
            <w:shd w:fill="CCEEFF" w:val="clear"/>
            <w:tcMar>
              <w:bottom w:w="0" w:type="dxa"/>
            </w:tcMar>
            <w:vAlign w:val="center"/>
          </w:tcPr>
          <w:p>
            <w:pPr>
              <w:pStyle w:val="TableContents"/>
              <w:bidi w:val="0"/>
              <w:spacing w:before="0" w:after="0"/>
              <w:ind w:left="18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Construction and land development loans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ind w:left="0" w:right="0" w:hanging="0"/>
              <w:jc w:val="left"/>
              <w:rPr/>
            </w:pPr>
            <w:r>
              <w:rPr/>
              <w:t> </w:t>
            </w:r>
          </w:p>
        </w:tc>
        <w:tc>
          <w:tcPr>
            <w:tcW w:w="419"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19,465</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535" w:type="dxa"/>
            <w:tcBorders/>
            <w:shd w:fill="FFFFFF" w:val="clear"/>
            <w:tcMar>
              <w:bottom w:w="0" w:type="dxa"/>
            </w:tcMar>
            <w:vAlign w:val="center"/>
          </w:tcPr>
          <w:p>
            <w:pPr>
              <w:pStyle w:val="TableContents"/>
              <w:bidi w:val="0"/>
              <w:spacing w:before="0" w:after="0"/>
              <w:ind w:left="36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and industrial loans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ind w:left="0" w:right="0" w:hanging="0"/>
              <w:jc w:val="left"/>
              <w:rPr/>
            </w:pPr>
            <w:r>
              <w:rPr/>
              <w:t> </w:t>
            </w:r>
          </w:p>
        </w:tc>
        <w:tc>
          <w:tcPr>
            <w:tcW w:w="419"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4,708</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535" w:type="dxa"/>
            <w:tcBorders/>
            <w:shd w:fill="CCEEFF" w:val="clear"/>
            <w:tcMar>
              <w:bottom w:w="0" w:type="dxa"/>
            </w:tcMar>
            <w:vAlign w:val="center"/>
          </w:tcPr>
          <w:p>
            <w:pPr>
              <w:pStyle w:val="TableContents"/>
              <w:bidi w:val="0"/>
              <w:spacing w:lineRule="auto" w:line="288"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real estate owned (1)</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0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419" w:type="dxa"/>
            <w:tcBorders>
              <w:bottom w:val="single" w:sz="2" w:space="0" w:color="000000"/>
            </w:tcBorders>
            <w:shd w:fill="CCEEFF" w:val="clear"/>
            <w:vAlign w:val="center"/>
          </w:tcPr>
          <w:p>
            <w:pPr>
              <w:pStyle w:val="TableContents"/>
              <w:bidi w:val="0"/>
              <w:spacing w:before="0" w:after="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vAlign w:val="center"/>
          </w:tcPr>
          <w:p>
            <w:pPr>
              <w:pStyle w:val="TableContents"/>
              <w:bidi w:val="0"/>
              <w:spacing w:before="0" w:after="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8,830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8,830</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5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00"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19" w:type="dxa"/>
            <w:tcBorders>
              <w:bottom w:val="double" w:sz="6" w:space="0" w:color="000000"/>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36,074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36,074</w:t>
            </w:r>
          </w:p>
        </w:tc>
        <w:tc>
          <w:tcPr>
            <w:tcW w:w="6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rFonts w:ascii="Times New Roman" w:hAnsi="Times New Roman"/>
          <w:caps w:val="false"/>
          <w:smallCaps w:val="false"/>
          <w:sz w:val="18"/>
        </w:rPr>
        <w:t>(</w:t>
      </w:r>
      <w:r>
        <w:rPr>
          <w:rStyle w:val="Emphasis"/>
          <w:rFonts w:ascii="Times New Roman" w:hAnsi="Times New Roman"/>
          <w:caps w:val="false"/>
          <w:smallCaps w:val="false"/>
          <w:sz w:val="18"/>
        </w:rPr>
        <w:t>1</w:t>
      </w:r>
      <w:r>
        <w:rPr>
          <w:rFonts w:ascii="Times New Roman" w:hAnsi="Times New Roman"/>
          <w:caps w:val="false"/>
          <w:smallCaps w:val="false"/>
          <w:sz w:val="18"/>
        </w:rPr>
        <w:t>) Included in “Accrued interest and other assets” on the consolidated balance sheets.</w:t>
      </w:r>
      <w:r>
        <w:rPr>
          <w:rFonts w:ascii="Times New Roman" w:hAnsi="Times New Roman"/>
          <w:caps w:val="false"/>
          <w:smallCaps w:val="false"/>
          <w:sz w:val="16"/>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both"/>
        <w:rPr/>
      </w:pPr>
      <w:r>
        <w:rPr>
          <w:rFonts w:ascii="Times New Roman" w:hAnsi="Times New Roman"/>
          <w:caps w:val="false"/>
          <w:smallCaps w:val="false"/>
          <w:sz w:val="20"/>
        </w:rPr>
        <w:t xml:space="preserve">The fair value of assets evaluated on a non-recurring basis is based on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party appraisals, including adjustments to comparable market data as summarized in the table below.</w:t>
      </w:r>
    </w:p>
    <w:p>
      <w:pPr>
        <w:pStyle w:val="TextBody"/>
        <w:bidi w:val="0"/>
        <w:spacing w:before="0" w:after="0"/>
        <w:ind w:left="0" w:right="0" w:firstLine="540"/>
        <w:jc w:val="both"/>
        <w:rPr>
          <w:caps w:val="false"/>
          <w:smallCaps w:val="false"/>
        </w:rPr>
      </w:pPr>
      <w:r>
        <w:rPr>
          <w:caps w:val="false"/>
          <w:smallCaps w:val="false"/>
        </w:rPr>
        <w:t> </w:t>
      </w:r>
    </w:p>
    <w:tbl>
      <w:tblPr>
        <w:tblW w:w="8904" w:type="dxa"/>
        <w:jc w:val="left"/>
        <w:tblInd w:w="0" w:type="dxa"/>
        <w:tblLayout w:type="fixed"/>
        <w:tblCellMar>
          <w:top w:w="0" w:type="dxa"/>
          <w:left w:w="0" w:type="dxa"/>
          <w:bottom w:w="28" w:type="dxa"/>
          <w:right w:w="0" w:type="dxa"/>
        </w:tblCellMar>
      </w:tblPr>
      <w:tblGrid>
        <w:gridCol w:w="2855"/>
        <w:gridCol w:w="60"/>
        <w:gridCol w:w="163"/>
        <w:gridCol w:w="771"/>
        <w:gridCol w:w="60"/>
        <w:gridCol w:w="1850"/>
        <w:gridCol w:w="60"/>
        <w:gridCol w:w="1850"/>
        <w:gridCol w:w="60"/>
        <w:gridCol w:w="60"/>
        <w:gridCol w:w="1040"/>
        <w:gridCol w:w="75"/>
      </w:tblGrid>
      <w:tr>
        <w:trPr/>
        <w:tc>
          <w:tcPr>
            <w:tcW w:w="285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Fair Value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850" w:type="dxa"/>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Valuation Techniques</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1850" w:type="dxa"/>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Unobservable Input(s)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00" w:type="dxa"/>
            <w:gridSpan w:val="2"/>
            <w:tcBorders>
              <w:bottom w:val="single" w:sz="2" w:space="0" w:color="000000"/>
            </w:tcBorders>
            <w:shd w:fill="FFFFFF" w:val="cle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Range (1)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85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Collateral dependent loans: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14" w:type="dxa"/>
            <w:gridSpan w:val="9"/>
            <w:tcBorders/>
            <w:shd w:fill="FFFFFF" w:val="clear"/>
            <w:tcMar>
              <w:bottom w:w="0" w:type="dxa"/>
            </w:tcMar>
            <w:vAlign w:val="center"/>
          </w:tcPr>
          <w:p>
            <w:pPr>
              <w:pStyle w:val="TableContents"/>
              <w:bidi w:val="0"/>
              <w:spacing w:before="0" w:after="0"/>
              <w:jc w:val="center"/>
              <w:rPr/>
            </w:pPr>
            <w:r>
              <w:rPr>
                <w:rStyle w:val="Emphasis"/>
                <w:rFonts w:ascii="Times New Roman;Times;serif" w:hAnsi="Times New Roman;Times;serif"/>
                <w:b/>
                <w:i/>
                <w:sz w:val="20"/>
              </w:rPr>
              <w:t>(dollars in thousands)</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855" w:type="dxa"/>
            <w:tcBorders/>
            <w:shd w:fill="CCEEFF" w:val="clear"/>
            <w:tcMar>
              <w:bottom w:w="0" w:type="dxa"/>
            </w:tcM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Commercial real estate loans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3,057</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850" w:type="dxa"/>
            <w:tcBorders/>
            <w:shd w:fill="CCEEFF" w:val="clear"/>
            <w:tcMar>
              <w:bottom w:w="0" w:type="dxa"/>
            </w:tcMar>
            <w:vAlign w:val="center"/>
          </w:tcPr>
          <w:p>
            <w:pPr>
              <w:pStyle w:val="TableContents"/>
              <w:bidi w:val="0"/>
              <w:spacing w:before="0" w:after="0"/>
              <w:ind w:left="0" w:right="0" w:hanging="0"/>
              <w:jc w:val="left"/>
              <w:rPr/>
            </w:pPr>
            <w:r>
              <w:rPr>
                <w:rStyle w:val="Emphasis"/>
                <w:rFonts w:ascii="Times New Roman;Times;serif" w:hAnsi="Times New Roman;Times;serif"/>
                <w:sz w:val="20"/>
              </w:rPr>
              <w:t>Market approach</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850" w:type="dxa"/>
            <w:tcBorders/>
            <w:shd w:fill="CCEEFF" w:val="clear"/>
            <w:tcMar>
              <w:bottom w:w="0" w:type="dxa"/>
            </w:tcMar>
            <w:vAlign w:val="center"/>
          </w:tcPr>
          <w:p>
            <w:pPr>
              <w:pStyle w:val="TableContents"/>
              <w:bidi w:val="0"/>
              <w:spacing w:before="0" w:after="0"/>
              <w:ind w:left="0" w:right="0" w:hanging="0"/>
              <w:jc w:val="left"/>
              <w:rPr/>
            </w:pPr>
            <w:r>
              <w:rPr>
                <w:rStyle w:val="Emphasis"/>
                <w:rFonts w:ascii="Times New Roman;Times;serif" w:hAnsi="Times New Roman;Times;serif"/>
                <w:sz w:val="20"/>
              </w:rPr>
              <w:t>Adjustments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040" w:type="dxa"/>
            <w:tcBorders/>
            <w:shd w:fill="CCEEFF" w:val="clear"/>
            <w:tcMar>
              <w:bottom w:w="0" w:type="dxa"/>
            </w:tcMar>
            <w:vAlign w:val="center"/>
          </w:tcPr>
          <w:p>
            <w:pPr>
              <w:pStyle w:val="TableContents"/>
              <w:bidi w:val="0"/>
              <w:spacing w:before="0" w:after="283"/>
              <w:ind w:left="0" w:right="0" w:hanging="0"/>
              <w:jc w:val="center"/>
              <w:rPr/>
            </w:pPr>
            <w:r>
              <w:rPr>
                <w:rStyle w:val="Emphasis"/>
                <w:rFonts w:ascii="Times New Roman;Times;serif" w:hAnsi="Times New Roman;Times;serif"/>
                <w:sz w:val="20"/>
              </w:rPr>
              <w:t>(41%) to 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55" w:type="dxa"/>
            <w:tcBorders/>
            <w:shd w:fill="FFFFFF" w:val="clear"/>
            <w:tcMar>
              <w:bottom w:w="0" w:type="dxa"/>
            </w:tcM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Commercial and industrial loans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shd w:fill="FFFFFF" w:val="clear"/>
            <w:tcMar>
              <w:bottom w:w="0" w:type="dxa"/>
            </w:tcMar>
            <w:vAlign w:val="center"/>
          </w:tcPr>
          <w:p>
            <w:pPr>
              <w:pStyle w:val="TableContents"/>
              <w:bidi w:val="0"/>
              <w:spacing w:before="0" w:after="283"/>
              <w:jc w:val="left"/>
              <w:rPr/>
            </w:pPr>
            <w:r>
              <w:rPr/>
              <w:t> </w:t>
            </w:r>
          </w:p>
        </w:tc>
        <w:tc>
          <w:tcPr>
            <w:tcW w:w="771"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0" w:type="dxa"/>
            <w:tcBorders/>
            <w:shd w:fill="FFFFFF" w:val="clear"/>
            <w:tcMar>
              <w:bottom w:w="0" w:type="dxa"/>
            </w:tcMar>
            <w:vAlign w:val="center"/>
          </w:tcPr>
          <w:p>
            <w:pPr>
              <w:pStyle w:val="TableContents"/>
              <w:bidi w:val="0"/>
              <w:spacing w:before="0" w:after="0"/>
              <w:ind w:left="0" w:right="0" w:hanging="0"/>
              <w:jc w:val="left"/>
              <w:rPr/>
            </w:pPr>
            <w:r>
              <w:rPr>
                <w:rStyle w:val="Emphasis"/>
                <w:rFonts w:ascii="Times New Roman;Times;serif" w:hAnsi="Times New Roman;Times;serif"/>
                <w:sz w:val="20"/>
              </w:rPr>
              <w:t>Market approach</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0" w:type="dxa"/>
            <w:tcBorders/>
            <w:shd w:fill="FFFFFF" w:val="clear"/>
            <w:tcMar>
              <w:bottom w:w="0" w:type="dxa"/>
            </w:tcMar>
            <w:vAlign w:val="center"/>
          </w:tcPr>
          <w:p>
            <w:pPr>
              <w:pStyle w:val="TableContents"/>
              <w:bidi w:val="0"/>
              <w:spacing w:before="0" w:after="0"/>
              <w:ind w:left="0" w:right="0" w:hanging="0"/>
              <w:jc w:val="left"/>
              <w:rPr/>
            </w:pPr>
            <w:r>
              <w:rPr>
                <w:rStyle w:val="Emphasis"/>
                <w:rFonts w:ascii="Times New Roman;Times;serif" w:hAnsi="Times New Roman;Times;serif"/>
                <w:sz w:val="20"/>
              </w:rPr>
              <w:t>Adjustments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0" w:type="dxa"/>
            <w:tcBorders/>
            <w:shd w:fill="FFFFFF" w:val="clear"/>
            <w:tcMar>
              <w:bottom w:w="0" w:type="dxa"/>
            </w:tcMar>
            <w:vAlign w:val="center"/>
          </w:tcPr>
          <w:p>
            <w:pPr>
              <w:pStyle w:val="TableContents"/>
              <w:bidi w:val="0"/>
              <w:spacing w:before="0" w:after="283"/>
              <w:jc w:val="center"/>
              <w:rPr/>
            </w:pPr>
            <w:r>
              <w:rPr>
                <w:rStyle w:val="Emphasis"/>
                <w:rFonts w:ascii="Times New Roman;Times;serif" w:hAnsi="Times New Roman;Times;serif"/>
                <w:sz w:val="20"/>
              </w:rPr>
              <w:t>(4%) to 26%</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855" w:type="dxa"/>
            <w:tcBorders/>
            <w:shd w:fill="CCEEFF" w:val="clear"/>
            <w:tcMar>
              <w:bottom w:w="0" w:type="dxa"/>
            </w:tcM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SBA loans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jc w:val="left"/>
              <w:rPr/>
            </w:pPr>
            <w:r>
              <w:rPr/>
              <w:t> </w:t>
            </w:r>
          </w:p>
        </w:tc>
        <w:tc>
          <w:tcPr>
            <w:tcW w:w="77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0" w:type="dxa"/>
            <w:tcBorders/>
            <w:shd w:fill="CCEEFF" w:val="clear"/>
            <w:tcMar>
              <w:bottom w:w="0" w:type="dxa"/>
            </w:tcMar>
            <w:vAlign w:val="center"/>
          </w:tcPr>
          <w:p>
            <w:pPr>
              <w:pStyle w:val="TableContents"/>
              <w:bidi w:val="0"/>
              <w:spacing w:before="0" w:after="0"/>
              <w:ind w:left="0" w:right="0" w:hanging="0"/>
              <w:jc w:val="left"/>
              <w:rPr/>
            </w:pPr>
            <w:r>
              <w:rPr>
                <w:rStyle w:val="Emphasis"/>
                <w:rFonts w:ascii="Times New Roman;Times;serif" w:hAnsi="Times New Roman;Times;serif"/>
                <w:sz w:val="20"/>
              </w:rPr>
              <w:t>Market approach</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0" w:type="dxa"/>
            <w:tcBorders/>
            <w:shd w:fill="CCEEFF" w:val="clear"/>
            <w:tcMar>
              <w:bottom w:w="0" w:type="dxa"/>
            </w:tcMar>
            <w:vAlign w:val="center"/>
          </w:tcPr>
          <w:p>
            <w:pPr>
              <w:pStyle w:val="TableContents"/>
              <w:bidi w:val="0"/>
              <w:spacing w:before="0" w:after="0"/>
              <w:ind w:left="0" w:right="0" w:hanging="0"/>
              <w:jc w:val="left"/>
              <w:rPr/>
            </w:pPr>
            <w:r>
              <w:rPr>
                <w:rStyle w:val="Emphasis"/>
                <w:rFonts w:ascii="Times New Roman;Times;serif" w:hAnsi="Times New Roman;Times;serif"/>
                <w:sz w:val="20"/>
              </w:rPr>
              <w:t>Adjustments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 to 22%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55" w:type="dxa"/>
            <w:tcBorders/>
            <w:shd w:fill="FFFFFF" w:val="clear"/>
            <w:tcMar>
              <w:bottom w:w="0" w:type="dxa"/>
            </w:tcMar>
            <w:vAlign w:val="center"/>
          </w:tcPr>
          <w:p>
            <w:pPr>
              <w:pStyle w:val="TableContents"/>
              <w:bidi w:val="0"/>
              <w:spacing w:lineRule="auto" w:line="288" w:before="0" w:after="0"/>
              <w:ind w:left="0" w:right="0" w:hanging="0"/>
              <w:jc w:val="left"/>
              <w:rPr>
                <w:rFonts w:ascii="Times New Roman;Times;serif" w:hAnsi="Times New Roman;Times;serif"/>
                <w:sz w:val="20"/>
              </w:rPr>
            </w:pPr>
            <w:r>
              <w:rPr>
                <w:rFonts w:ascii="Times New Roman;Times;serif" w:hAnsi="Times New Roman;Times;serif"/>
                <w:sz w:val="20"/>
              </w:rPr>
              <w:t>Other Real Estate Owned (2)</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63"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771" w:type="dxa"/>
            <w:tcBorders>
              <w:bottom w:val="single" w:sz="2" w:space="0" w:color="000000"/>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19,820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0" w:type="dxa"/>
            <w:tcBorders/>
            <w:shd w:fill="FFFFFF" w:val="clear"/>
            <w:tcMar>
              <w:bottom w:w="0" w:type="dxa"/>
            </w:tcMar>
            <w:vAlign w:val="center"/>
          </w:tcPr>
          <w:p>
            <w:pPr>
              <w:pStyle w:val="TableContents"/>
              <w:bidi w:val="0"/>
              <w:spacing w:before="0" w:after="0"/>
              <w:ind w:left="0" w:right="0" w:hanging="0"/>
              <w:jc w:val="left"/>
              <w:rPr/>
            </w:pPr>
            <w:r>
              <w:rPr>
                <w:rStyle w:val="Emphasis"/>
                <w:rFonts w:ascii="Times New Roman;Times;serif" w:hAnsi="Times New Roman;Times;serif"/>
                <w:sz w:val="20"/>
              </w:rPr>
              <w:t>Market approach</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0" w:type="dxa"/>
            <w:tcBorders/>
            <w:shd w:fill="FFFFFF" w:val="clear"/>
            <w:tcMar>
              <w:bottom w:w="0" w:type="dxa"/>
            </w:tcMar>
            <w:vAlign w:val="center"/>
          </w:tcPr>
          <w:p>
            <w:pPr>
              <w:pStyle w:val="TableContents"/>
              <w:bidi w:val="0"/>
              <w:spacing w:before="0" w:after="0"/>
              <w:ind w:left="0" w:right="0" w:hanging="0"/>
              <w:jc w:val="left"/>
              <w:rPr/>
            </w:pPr>
            <w:r>
              <w:rPr>
                <w:rStyle w:val="Emphasis"/>
                <w:rFonts w:ascii="Times New Roman;Times;serif" w:hAnsi="Times New Roman;Times;serif"/>
                <w:sz w:val="20"/>
              </w:rPr>
              <w:t>Adjustments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 to 26%</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85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1"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0" w:type="dxa"/>
            <w:tcBorders/>
            <w:shd w:fill="CCEEFF" w:val="clear"/>
            <w:tcMar>
              <w:bottom w:w="0" w:type="dxa"/>
            </w:tcMar>
            <w:vAlign w:val="center"/>
          </w:tcPr>
          <w:p>
            <w:pPr>
              <w:pStyle w:val="TableContents"/>
              <w:bidi w:val="0"/>
              <w:spacing w:before="0" w:after="283"/>
              <w:jc w:val="left"/>
              <w:rPr/>
            </w:pPr>
            <w:r>
              <w:rPr>
                <w:rStyle w:val="Emphasis"/>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0" w:type="dxa"/>
            <w:tcBorders/>
            <w:shd w:fill="CCEEFF" w:val="clear"/>
            <w:tcMar>
              <w:bottom w:w="0" w:type="dxa"/>
            </w:tcMar>
            <w:vAlign w:val="center"/>
          </w:tcPr>
          <w:p>
            <w:pPr>
              <w:pStyle w:val="TableContents"/>
              <w:bidi w:val="0"/>
              <w:spacing w:before="0" w:after="283"/>
              <w:jc w:val="left"/>
              <w:rPr/>
            </w:pPr>
            <w:r>
              <w:rPr>
                <w:rStyle w:val="Emphasis"/>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right"/>
              <w:rPr/>
            </w:pPr>
            <w:r>
              <w:rPr>
                <w:rStyle w:val="Emphasis"/>
              </w:rPr>
              <w:t> </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rFonts w:ascii="Times New Roman" w:hAnsi="Times New Roman"/>
          <w:caps w:val="false"/>
          <w:smallCaps w:val="false"/>
          <w:sz w:val="18"/>
        </w:rPr>
        <w:t>(</w:t>
      </w:r>
      <w:r>
        <w:rPr>
          <w:rStyle w:val="Emphasis"/>
          <w:rFonts w:ascii="Times New Roman" w:hAnsi="Times New Roman"/>
          <w:caps w:val="false"/>
          <w:smallCaps w:val="false"/>
          <w:sz w:val="18"/>
        </w:rPr>
        <w:t>1</w:t>
      </w:r>
      <w:r>
        <w:rPr>
          <w:rFonts w:ascii="Times New Roman" w:hAnsi="Times New Roman"/>
          <w:caps w:val="false"/>
          <w:smallCaps w:val="false"/>
          <w:sz w:val="18"/>
        </w:rPr>
        <w:t>) Represents the minimum and maximum range of adjustments made by appraisers for differences in comparable sales.</w:t>
      </w:r>
    </w:p>
    <w:p>
      <w:pPr>
        <w:pStyle w:val="TextBody"/>
        <w:bidi w:val="0"/>
        <w:spacing w:before="0" w:after="0"/>
        <w:ind w:left="0" w:right="0" w:hanging="0"/>
        <w:jc w:val="both"/>
        <w:rPr/>
      </w:pPr>
      <w:r>
        <w:rPr>
          <w:rFonts w:ascii="Times New Roman" w:hAnsi="Times New Roman"/>
          <w:caps w:val="false"/>
          <w:smallCaps w:val="false"/>
          <w:sz w:val="18"/>
        </w:rPr>
        <w:t>(</w:t>
      </w:r>
      <w:r>
        <w:rPr>
          <w:rStyle w:val="Emphasis"/>
          <w:rFonts w:ascii="Times New Roman" w:hAnsi="Times New Roman"/>
          <w:caps w:val="false"/>
          <w:smallCaps w:val="false"/>
          <w:sz w:val="18"/>
        </w:rPr>
        <w:t>2</w:t>
      </w:r>
      <w:r>
        <w:rPr>
          <w:rFonts w:ascii="Times New Roman" w:hAnsi="Times New Roman"/>
          <w:caps w:val="false"/>
          <w:smallCaps w:val="false"/>
          <w:sz w:val="18"/>
        </w:rPr>
        <w:t>) Included in “Accrued interest and other assets” on the consolidated balance sheets.</w:t>
      </w:r>
    </w:p>
    <w:p>
      <w:pPr>
        <w:pStyle w:val="TextBody"/>
        <w:bidi w:val="0"/>
        <w:spacing w:before="0" w:after="0"/>
        <w:ind w:left="0" w:right="0" w:firstLine="540"/>
        <w:jc w:val="both"/>
        <w:rPr>
          <w:caps w:val="false"/>
          <w:smallCaps w:val="false"/>
        </w:rPr>
      </w:pPr>
      <w:r>
        <w:rPr>
          <w:caps w:val="false"/>
          <w:smallCaps w:val="false"/>
        </w:rPr>
        <w:t> </w:t>
      </w:r>
    </w:p>
    <w:tbl>
      <w:tblPr>
        <w:tblW w:w="9864" w:type="dxa"/>
        <w:jc w:val="left"/>
        <w:tblInd w:w="0" w:type="dxa"/>
        <w:tblLayout w:type="fixed"/>
        <w:tblCellMar>
          <w:top w:w="0" w:type="dxa"/>
          <w:left w:w="0" w:type="dxa"/>
          <w:bottom w:w="28" w:type="dxa"/>
          <w:right w:w="0" w:type="dxa"/>
        </w:tblCellMar>
      </w:tblPr>
      <w:tblGrid>
        <w:gridCol w:w="3620"/>
        <w:gridCol w:w="60"/>
        <w:gridCol w:w="171"/>
        <w:gridCol w:w="808"/>
        <w:gridCol w:w="60"/>
        <w:gridCol w:w="1850"/>
        <w:gridCol w:w="60"/>
        <w:gridCol w:w="1895"/>
        <w:gridCol w:w="60"/>
        <w:gridCol w:w="60"/>
        <w:gridCol w:w="1145"/>
        <w:gridCol w:w="75"/>
      </w:tblGrid>
      <w:tr>
        <w:trPr/>
        <w:tc>
          <w:tcPr>
            <w:tcW w:w="362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2025</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979" w:type="dxa"/>
            <w:gridSpan w:val="2"/>
            <w:tcBorders>
              <w:bottom w:val="single" w:sz="2" w:space="0" w:color="000000"/>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 xml:space="preserve">Fair Value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850" w:type="dxa"/>
            <w:tcBorders>
              <w:bottom w:val="single" w:sz="2" w:space="0" w:color="000000"/>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Valuation Techniques</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1895" w:type="dxa"/>
            <w:tcBorders>
              <w:bottom w:val="single" w:sz="2" w:space="0" w:color="000000"/>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 xml:space="preserve">Unobservable Input(s)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05" w:type="dxa"/>
            <w:gridSpan w:val="2"/>
            <w:tcBorders>
              <w:bottom w:val="single" w:sz="2" w:space="0" w:color="000000"/>
            </w:tcBorders>
            <w:shd w:fill="CCEEFF" w:val="cle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Range (1)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62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Collateral dependent loans: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109" w:type="dxa"/>
            <w:gridSpan w:val="9"/>
            <w:tcBorders/>
            <w:shd w:fill="FFFFFF" w:val="clear"/>
            <w:tcMar>
              <w:bottom w:w="0"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(dollars in thousands)</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620" w:type="dxa"/>
            <w:tcBorders/>
            <w:shd w:fill="CCEEFF" w:val="clear"/>
            <w:tcMar>
              <w:bottom w:w="0" w:type="dxa"/>
            </w:tcM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real estate loans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1"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3,071</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850" w:type="dxa"/>
            <w:tcBorders/>
            <w:shd w:fill="CCEEFF" w:val="clear"/>
            <w:tcMar>
              <w:bottom w:w="0" w:type="dxa"/>
            </w:tcM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Market approach</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895" w:type="dxa"/>
            <w:tcBorders/>
            <w:shd w:fill="CCEEFF" w:val="clear"/>
            <w:tcMar>
              <w:bottom w:w="0" w:type="dxa"/>
            </w:tcM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Adjustments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45" w:type="dxa"/>
            <w:tcBorders/>
            <w:shd w:fill="CCEEFF" w:val="clear"/>
            <w:tcMar>
              <w:bottom w:w="0" w:type="dxa"/>
            </w:tcMar>
            <w:vAlign w:val="center"/>
          </w:tcPr>
          <w:p>
            <w:pPr>
              <w:pStyle w:val="TableContents"/>
              <w:bidi w:val="0"/>
              <w:spacing w:before="0" w:after="283"/>
              <w:ind w:left="0" w:right="0" w:hanging="0"/>
              <w:jc w:val="center"/>
              <w:rPr/>
            </w:pPr>
            <w:r>
              <w:rPr>
                <w:rStyle w:val="Emphasis"/>
                <w:rFonts w:ascii="Times New Roman;Times;serif" w:hAnsi="Times New Roman;Times;serif"/>
                <w:sz w:val="20"/>
              </w:rPr>
              <w:t>(41%) to 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620" w:type="dxa"/>
            <w:tcBorders/>
            <w:shd w:fill="FFFFFF" w:val="clear"/>
            <w:tcMar>
              <w:bottom w:w="0" w:type="dxa"/>
            </w:tcM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Construction and land development loans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ind w:left="0" w:right="0" w:hanging="0"/>
              <w:jc w:val="left"/>
              <w:rPr/>
            </w:pPr>
            <w:r>
              <w:rPr/>
              <w:t> </w:t>
            </w:r>
          </w:p>
        </w:tc>
        <w:tc>
          <w:tcPr>
            <w:tcW w:w="80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19,465</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850" w:type="dxa"/>
            <w:tcBorders/>
            <w:shd w:fill="FFFFFF" w:val="clear"/>
            <w:tcMar>
              <w:bottom w:w="0" w:type="dxa"/>
            </w:tcM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Market approach</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895" w:type="dxa"/>
            <w:tcBorders/>
            <w:shd w:fill="FFFFFF" w:val="clear"/>
            <w:tcMar>
              <w:bottom w:w="0" w:type="dxa"/>
            </w:tcM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Adjustments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45"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9% to 23%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620" w:type="dxa"/>
            <w:tcBorders/>
            <w:shd w:fill="CCEEFF" w:val="clear"/>
            <w:tcMar>
              <w:bottom w:w="0" w:type="dxa"/>
            </w:tcM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and industrial loans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ind w:left="0" w:right="0" w:hanging="0"/>
              <w:jc w:val="left"/>
              <w:rPr/>
            </w:pPr>
            <w:r>
              <w:rPr/>
              <w:t> </w:t>
            </w:r>
          </w:p>
        </w:tc>
        <w:tc>
          <w:tcPr>
            <w:tcW w:w="80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4,708</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850" w:type="dxa"/>
            <w:tcBorders/>
            <w:shd w:fill="CCEEFF" w:val="clear"/>
            <w:tcMar>
              <w:bottom w:w="0" w:type="dxa"/>
            </w:tcM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Market approach</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895" w:type="dxa"/>
            <w:tcBorders/>
            <w:shd w:fill="CCEEFF" w:val="clear"/>
            <w:tcMar>
              <w:bottom w:w="0" w:type="dxa"/>
            </w:tcM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Adjustments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45" w:type="dxa"/>
            <w:tcBorders/>
            <w:shd w:fill="CCEEFF" w:val="clear"/>
            <w:tcMar>
              <w:bottom w:w="0" w:type="dxa"/>
            </w:tcMar>
            <w:vAlign w:val="center"/>
          </w:tcPr>
          <w:p>
            <w:pPr>
              <w:pStyle w:val="TableContents"/>
              <w:bidi w:val="0"/>
              <w:spacing w:before="0" w:after="283"/>
              <w:ind w:left="0" w:right="0" w:hanging="0"/>
              <w:jc w:val="center"/>
              <w:rPr/>
            </w:pPr>
            <w:r>
              <w:rPr>
                <w:rStyle w:val="Emphasis"/>
                <w:rFonts w:ascii="Times New Roman;Times;serif" w:hAnsi="Times New Roman;Times;serif"/>
                <w:sz w:val="20"/>
              </w:rPr>
              <w:t>(20%) to 20%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620" w:type="dxa"/>
            <w:tcBorders/>
            <w:shd w:fill="FFFFFF" w:val="clear"/>
            <w:tcMar>
              <w:bottom w:w="0" w:type="dxa"/>
            </w:tcM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Real Estate Owned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0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8,830</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850" w:type="dxa"/>
            <w:tcBorders/>
            <w:shd w:fill="FFFFFF" w:val="clear"/>
            <w:tcMar>
              <w:bottom w:w="0" w:type="dxa"/>
            </w:tcM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Market approach</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895" w:type="dxa"/>
            <w:tcBorders/>
            <w:shd w:fill="FFFFFF" w:val="clear"/>
            <w:tcMar>
              <w:bottom w:w="0" w:type="dxa"/>
            </w:tcM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Adjustments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45" w:type="dxa"/>
            <w:tcBorders/>
            <w:shd w:fill="FFFFFF" w:val="clear"/>
            <w:tcMar>
              <w:bottom w:w="0" w:type="dxa"/>
            </w:tcMar>
            <w:vAlign w:val="center"/>
          </w:tcPr>
          <w:p>
            <w:pPr>
              <w:pStyle w:val="TableContents"/>
              <w:bidi w:val="0"/>
              <w:spacing w:before="0" w:after="283"/>
              <w:ind w:left="0" w:right="0" w:hanging="0"/>
              <w:jc w:val="center"/>
              <w:rPr/>
            </w:pPr>
            <w:r>
              <w:rPr>
                <w:rStyle w:val="Emphasis"/>
                <w:rFonts w:ascii="Times New Roman;Times;serif" w:hAnsi="Times New Roman;Times;serif"/>
                <w:sz w:val="20"/>
              </w:rPr>
              <w:t>(10%) to 21%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62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8"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36,074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0" w:type="dxa"/>
            <w:tcBorders/>
            <w:shd w:fill="CCEEFF" w:val="clear"/>
            <w:tcMar>
              <w:bottom w:w="0" w:type="dxa"/>
            </w:tcMar>
            <w:vAlign w:val="center"/>
          </w:tcPr>
          <w:p>
            <w:pPr>
              <w:pStyle w:val="TableContents"/>
              <w:bidi w:val="0"/>
              <w:spacing w:before="0" w:after="283"/>
              <w:jc w:val="left"/>
              <w:rPr/>
            </w:pPr>
            <w:r>
              <w:rPr>
                <w:rStyle w:val="Emphasis"/>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95" w:type="dxa"/>
            <w:tcBorders/>
            <w:shd w:fill="CCEEFF" w:val="clear"/>
            <w:tcMar>
              <w:bottom w:w="0" w:type="dxa"/>
            </w:tcMar>
            <w:vAlign w:val="center"/>
          </w:tcPr>
          <w:p>
            <w:pPr>
              <w:pStyle w:val="TableContents"/>
              <w:bidi w:val="0"/>
              <w:spacing w:before="0" w:after="283"/>
              <w:jc w:val="left"/>
              <w:rPr/>
            </w:pPr>
            <w:r>
              <w:rPr>
                <w:rStyle w:val="Emphasis"/>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5" w:type="dxa"/>
            <w:tcBorders/>
            <w:shd w:fill="CCEEFF" w:val="clear"/>
            <w:tcMar>
              <w:bottom w:w="0" w:type="dxa"/>
            </w:tcMar>
            <w:vAlign w:val="center"/>
          </w:tcPr>
          <w:p>
            <w:pPr>
              <w:pStyle w:val="TableContents"/>
              <w:bidi w:val="0"/>
              <w:spacing w:before="0" w:after="283"/>
              <w:jc w:val="right"/>
              <w:rPr/>
            </w:pPr>
            <w:r>
              <w:rPr>
                <w:rStyle w:val="Emphasis"/>
              </w:rPr>
              <w:t> </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160" w:right="0" w:hanging="180"/>
        <w:jc w:val="both"/>
        <w:rPr/>
      </w:pPr>
      <w:r>
        <w:rPr>
          <w:rFonts w:ascii="Times New Roman" w:hAnsi="Times New Roman"/>
          <w:caps w:val="false"/>
          <w:smallCaps w:val="false"/>
          <w:sz w:val="18"/>
        </w:rPr>
        <w:t>(</w:t>
      </w:r>
      <w:r>
        <w:rPr>
          <w:rStyle w:val="Emphasis"/>
          <w:rFonts w:ascii="Times New Roman" w:hAnsi="Times New Roman"/>
          <w:caps w:val="false"/>
          <w:smallCaps w:val="false"/>
          <w:sz w:val="18"/>
        </w:rPr>
        <w:t>1</w:t>
      </w:r>
      <w:r>
        <w:rPr>
          <w:rFonts w:ascii="Times New Roman" w:hAnsi="Times New Roman"/>
          <w:caps w:val="false"/>
          <w:smallCaps w:val="false"/>
          <w:sz w:val="18"/>
        </w:rPr>
        <w:t>) Represents the minimum and maximum range of adjustments made by appraisers for differences in comparable sales.</w:t>
      </w:r>
    </w:p>
    <w:p>
      <w:pPr>
        <w:pStyle w:val="TextBody"/>
        <w:bidi w:val="0"/>
        <w:spacing w:before="0" w:after="0"/>
        <w:ind w:left="160" w:right="0" w:hanging="180"/>
        <w:jc w:val="both"/>
        <w:rPr/>
      </w:pPr>
      <w:r>
        <w:rPr>
          <w:rFonts w:ascii="Times New Roman" w:hAnsi="Times New Roman"/>
          <w:caps w:val="false"/>
          <w:smallCaps w:val="false"/>
          <w:sz w:val="18"/>
        </w:rPr>
        <w:t>(</w:t>
      </w:r>
      <w:r>
        <w:rPr>
          <w:rStyle w:val="Emphasis"/>
          <w:rFonts w:ascii="Times New Roman" w:hAnsi="Times New Roman"/>
          <w:caps w:val="false"/>
          <w:smallCaps w:val="false"/>
          <w:sz w:val="18"/>
        </w:rPr>
        <w:t>2</w:t>
      </w:r>
      <w:r>
        <w:rPr>
          <w:rFonts w:ascii="Times New Roman" w:hAnsi="Times New Roman"/>
          <w:caps w:val="false"/>
          <w:smallCaps w:val="false"/>
          <w:sz w:val="18"/>
        </w:rPr>
        <w:t>) Included in "Accrued interest and other assets" on the consolidated balance sheets.</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fair value hierarchy level and estimated fair value of significant financial instruments as of the dates indicated are summarized as follows:</w:t>
      </w:r>
    </w:p>
    <w:p>
      <w:pPr>
        <w:pStyle w:val="TextBody"/>
        <w:bidi w:val="0"/>
        <w:spacing w:before="0" w:after="0"/>
        <w:ind w:left="0" w:right="0" w:firstLine="540"/>
        <w:jc w:val="both"/>
        <w:rPr>
          <w:caps w:val="false"/>
          <w:smallCaps w:val="false"/>
        </w:rPr>
      </w:pPr>
      <w:r>
        <w:rPr>
          <w:caps w:val="false"/>
          <w:smallCaps w:val="false"/>
        </w:rPr>
        <w:t> </w:t>
      </w:r>
    </w:p>
    <w:tbl>
      <w:tblPr>
        <w:tblW w:w="9725" w:type="dxa"/>
        <w:jc w:val="left"/>
        <w:tblInd w:w="0" w:type="dxa"/>
        <w:tblLayout w:type="fixed"/>
        <w:tblCellMar>
          <w:top w:w="0" w:type="dxa"/>
          <w:left w:w="0" w:type="dxa"/>
          <w:bottom w:w="0" w:type="dxa"/>
          <w:right w:w="0" w:type="dxa"/>
        </w:tblCellMar>
      </w:tblPr>
      <w:tblGrid>
        <w:gridCol w:w="4430"/>
        <w:gridCol w:w="935"/>
        <w:gridCol w:w="60"/>
        <w:gridCol w:w="125"/>
        <w:gridCol w:w="845"/>
        <w:gridCol w:w="60"/>
        <w:gridCol w:w="60"/>
        <w:gridCol w:w="125"/>
        <w:gridCol w:w="845"/>
        <w:gridCol w:w="60"/>
        <w:gridCol w:w="60"/>
        <w:gridCol w:w="125"/>
        <w:gridCol w:w="845"/>
        <w:gridCol w:w="60"/>
        <w:gridCol w:w="60"/>
        <w:gridCol w:w="125"/>
        <w:gridCol w:w="845"/>
        <w:gridCol w:w="60"/>
      </w:tblGrid>
      <w:tr>
        <w:trPr/>
        <w:tc>
          <w:tcPr>
            <w:tcW w:w="443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43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60" w:type="dxa"/>
            <w:tcBorders/>
            <w:shd w:fill="FFFFFF" w:val="clear"/>
            <w:vAlign w:val="center"/>
          </w:tcPr>
          <w:p>
            <w:pPr>
              <w:pStyle w:val="TableContents"/>
              <w:bidi w:val="0"/>
              <w:spacing w:before="0" w:after="283"/>
              <w:jc w:val="left"/>
              <w:rPr/>
            </w:pPr>
            <w:r>
              <w:rPr/>
              <w:t> </w:t>
            </w:r>
          </w:p>
        </w:tc>
      </w:tr>
      <w:tr>
        <w:trPr/>
        <w:tc>
          <w:tcPr>
            <w:tcW w:w="4430" w:type="dxa"/>
            <w:tcBorders/>
            <w:shd w:fill="FFFFFF" w:val="clear"/>
            <w:vAlign w:val="center"/>
          </w:tcPr>
          <w:p>
            <w:pPr>
              <w:pStyle w:val="TableContents"/>
              <w:bidi w:val="0"/>
              <w:spacing w:before="0" w:after="283"/>
              <w:ind w:left="0" w:right="0" w:hanging="0"/>
              <w:jc w:val="left"/>
              <w:rPr/>
            </w:pPr>
            <w:r>
              <w:rPr/>
              <w:t> </w:t>
            </w:r>
          </w:p>
        </w:tc>
        <w:tc>
          <w:tcPr>
            <w:tcW w:w="935"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Fair Value</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Carrying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Fair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Carrying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Fair</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4430" w:type="dxa"/>
            <w:tcBorders/>
            <w:shd w:fill="FFFFFF" w:val="clear"/>
            <w:vAlign w:val="center"/>
          </w:tcPr>
          <w:p>
            <w:pPr>
              <w:pStyle w:val="TableContents"/>
              <w:bidi w:val="0"/>
              <w:spacing w:before="0" w:after="0"/>
              <w:ind w:left="0" w:right="0" w:hanging="0"/>
              <w:jc w:val="left"/>
              <w:rPr/>
            </w:pPr>
            <w:r>
              <w:rPr/>
              <w:t> </w:t>
            </w:r>
          </w:p>
        </w:tc>
        <w:tc>
          <w:tcPr>
            <w:tcW w:w="935"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Hierarchy</w:t>
            </w:r>
          </w:p>
        </w:tc>
        <w:tc>
          <w:tcPr>
            <w:tcW w:w="60" w:type="dxa"/>
            <w:tcBorders/>
            <w:shd w:fill="FFFFFF" w:val="clear"/>
            <w:vAlign w:val="center"/>
          </w:tcPr>
          <w:p>
            <w:pPr>
              <w:pStyle w:val="TableContents"/>
              <w:bidi w:val="0"/>
              <w:spacing w:before="0" w:after="0"/>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Value</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Value</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Value</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Value</w:t>
            </w:r>
          </w:p>
        </w:tc>
        <w:tc>
          <w:tcPr>
            <w:tcW w:w="60" w:type="dxa"/>
            <w:tcBorders/>
            <w:shd w:fill="FFFFFF" w:val="clear"/>
            <w:vAlign w:val="center"/>
          </w:tcPr>
          <w:p>
            <w:pPr>
              <w:pStyle w:val="TableContents"/>
              <w:bidi w:val="0"/>
              <w:spacing w:before="0" w:after="0"/>
              <w:jc w:val="left"/>
              <w:rPr/>
            </w:pPr>
            <w:r>
              <w:rPr/>
              <w:t> </w:t>
            </w:r>
          </w:p>
        </w:tc>
      </w:tr>
      <w:tr>
        <w:trPr/>
        <w:tc>
          <w:tcPr>
            <w:tcW w:w="443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Financial Assets:</w:t>
            </w:r>
          </w:p>
        </w:tc>
        <w:tc>
          <w:tcPr>
            <w:tcW w:w="5235" w:type="dxa"/>
            <w:gridSpan w:val="1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i/>
                <w:caps w:val="false"/>
                <w:smallCaps w:val="false"/>
                <w:sz w:val="20"/>
              </w:rPr>
              <w:t>(dollars in thousands)</w:t>
            </w:r>
          </w:p>
        </w:tc>
        <w:tc>
          <w:tcPr>
            <w:tcW w:w="60" w:type="dxa"/>
            <w:tcBorders/>
            <w:shd w:fill="FFFFFF" w:val="clear"/>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935"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Level 1</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283,015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283,015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212,317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212,317</w:t>
            </w:r>
          </w:p>
        </w:tc>
        <w:tc>
          <w:tcPr>
            <w:tcW w:w="60" w:type="dxa"/>
            <w:tcBorders/>
            <w:shd w:fill="CCEEFF" w:val="clear"/>
            <w:vAlign w:val="center"/>
          </w:tcPr>
          <w:p>
            <w:pPr>
              <w:pStyle w:val="TableContents"/>
              <w:bidi w:val="0"/>
              <w:spacing w:before="0" w:after="283"/>
              <w:jc w:val="left"/>
              <w:rPr/>
            </w:pPr>
            <w:r>
              <w:rPr/>
              <w:t> </w:t>
            </w:r>
          </w:p>
        </w:tc>
      </w:tr>
      <w:tr>
        <w:trPr/>
        <w:tc>
          <w:tcPr>
            <w:tcW w:w="44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Interest-earning deposits in other financial institutions</w:t>
            </w:r>
          </w:p>
        </w:tc>
        <w:tc>
          <w:tcPr>
            <w:tcW w:w="935"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Level 1</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w:t>
            </w:r>
          </w:p>
        </w:tc>
        <w:tc>
          <w:tcPr>
            <w:tcW w:w="60" w:type="dxa"/>
            <w:tcBorders/>
            <w:shd w:fill="FFFFFF" w:val="clear"/>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securities – AFS</w:t>
            </w:r>
          </w:p>
        </w:tc>
        <w:tc>
          <w:tcPr>
            <w:tcW w:w="935"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Level 2</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407,160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407,160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407,204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407,204</w:t>
            </w:r>
          </w:p>
        </w:tc>
        <w:tc>
          <w:tcPr>
            <w:tcW w:w="60" w:type="dxa"/>
            <w:tcBorders/>
            <w:shd w:fill="CCEEFF" w:val="clear"/>
            <w:vAlign w:val="center"/>
          </w:tcPr>
          <w:p>
            <w:pPr>
              <w:pStyle w:val="TableContents"/>
              <w:bidi w:val="0"/>
              <w:spacing w:before="0" w:after="283"/>
              <w:jc w:val="left"/>
              <w:rPr/>
            </w:pPr>
            <w:r>
              <w:rPr/>
              <w:t> </w:t>
            </w:r>
          </w:p>
        </w:tc>
      </w:tr>
      <w:tr>
        <w:trPr/>
        <w:tc>
          <w:tcPr>
            <w:tcW w:w="44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securities – HTM</w:t>
            </w:r>
          </w:p>
        </w:tc>
        <w:tc>
          <w:tcPr>
            <w:tcW w:w="935"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Level 2</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4,103</w:t>
            </w:r>
          </w:p>
        </w:tc>
        <w:tc>
          <w:tcPr>
            <w:tcW w:w="60" w:type="dxa"/>
            <w:tcBorders/>
            <w:shd w:fill="FFFFFF" w:val="clear"/>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Loans held for sale</w:t>
            </w:r>
          </w:p>
        </w:tc>
        <w:tc>
          <w:tcPr>
            <w:tcW w:w="935"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Level 2</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2,067</w:t>
            </w:r>
          </w:p>
        </w:tc>
        <w:tc>
          <w:tcPr>
            <w:tcW w:w="60" w:type="dxa"/>
            <w:tcBorders/>
            <w:shd w:fill="CCEEFF" w:val="clear"/>
            <w:vAlign w:val="center"/>
          </w:tcPr>
          <w:p>
            <w:pPr>
              <w:pStyle w:val="TableContents"/>
              <w:bidi w:val="0"/>
              <w:spacing w:before="0" w:after="283"/>
              <w:jc w:val="left"/>
              <w:rPr/>
            </w:pPr>
            <w:r>
              <w:rPr/>
              <w:t> </w:t>
            </w:r>
          </w:p>
        </w:tc>
      </w:tr>
      <w:tr>
        <w:trPr/>
        <w:tc>
          <w:tcPr>
            <w:tcW w:w="44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Loans, net</w:t>
            </w:r>
          </w:p>
        </w:tc>
        <w:tc>
          <w:tcPr>
            <w:tcW w:w="935"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Level 3</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3,265,799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3,223,679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3,270,413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3,221,797</w:t>
            </w:r>
          </w:p>
        </w:tc>
        <w:tc>
          <w:tcPr>
            <w:tcW w:w="60" w:type="dxa"/>
            <w:tcBorders/>
            <w:shd w:fill="FFFFFF" w:val="clear"/>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 securities (1)</w:t>
            </w:r>
          </w:p>
        </w:tc>
        <w:tc>
          <w:tcPr>
            <w:tcW w:w="935"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Level 3</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26,086</w:t>
            </w:r>
          </w:p>
        </w:tc>
        <w:tc>
          <w:tcPr>
            <w:tcW w:w="60" w:type="dxa"/>
            <w:tcBorders/>
            <w:shd w:fill="CCEEFF" w:val="clear"/>
            <w:vAlign w:val="center"/>
          </w:tcPr>
          <w:p>
            <w:pPr>
              <w:pStyle w:val="TableContents"/>
              <w:bidi w:val="0"/>
              <w:spacing w:before="0" w:after="283"/>
              <w:jc w:val="left"/>
              <w:rPr/>
            </w:pPr>
            <w:r>
              <w:rPr/>
              <w:t> </w:t>
            </w:r>
          </w:p>
        </w:tc>
      </w:tr>
      <w:tr>
        <w:trPr/>
        <w:tc>
          <w:tcPr>
            <w:tcW w:w="4430" w:type="dxa"/>
            <w:tcBorders/>
            <w:shd w:fill="FFFF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Investment in FHLB stock</w:t>
            </w:r>
          </w:p>
        </w:tc>
        <w:tc>
          <w:tcPr>
            <w:tcW w:w="935"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Level 2</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15,000</w:t>
            </w:r>
          </w:p>
        </w:tc>
        <w:tc>
          <w:tcPr>
            <w:tcW w:w="60" w:type="dxa"/>
            <w:tcBorders/>
            <w:shd w:fill="FFFFFF" w:val="clear"/>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Servicing assets (1)</w:t>
            </w:r>
          </w:p>
        </w:tc>
        <w:tc>
          <w:tcPr>
            <w:tcW w:w="935"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Level 3</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11,521</w:t>
            </w:r>
          </w:p>
        </w:tc>
        <w:tc>
          <w:tcPr>
            <w:tcW w:w="60" w:type="dxa"/>
            <w:tcBorders/>
            <w:shd w:fill="CCEEFF" w:val="clear"/>
            <w:vAlign w:val="center"/>
          </w:tcPr>
          <w:p>
            <w:pPr>
              <w:pStyle w:val="TableContents"/>
              <w:bidi w:val="0"/>
              <w:spacing w:before="0" w:after="283"/>
              <w:jc w:val="left"/>
              <w:rPr/>
            </w:pPr>
            <w:r>
              <w:rPr/>
              <w:t> </w:t>
            </w:r>
          </w:p>
        </w:tc>
      </w:tr>
      <w:tr>
        <w:trPr/>
        <w:tc>
          <w:tcPr>
            <w:tcW w:w="4430" w:type="dxa"/>
            <w:tcBorders/>
            <w:shd w:fill="FFFFFF" w:val="clear"/>
            <w:vAlign w:val="center"/>
          </w:tcPr>
          <w:p>
            <w:pPr>
              <w:pStyle w:val="TableContents"/>
              <w:bidi w:val="0"/>
              <w:spacing w:lineRule="auto" w:line="288" w:before="0" w:after="0"/>
              <w:ind w:left="0" w:right="0" w:firstLine="360"/>
              <w:jc w:val="left"/>
              <w:rPr>
                <w:rFonts w:ascii="Times New Roman;Times;serif" w:hAnsi="Times New Roman;Times;serif"/>
                <w:sz w:val="20"/>
              </w:rPr>
            </w:pPr>
            <w:r>
              <w:rPr>
                <w:rFonts w:ascii="Times New Roman;Times;serif" w:hAnsi="Times New Roman;Times;serif"/>
                <w:sz w:val="20"/>
              </w:rPr>
              <w:t>Accrued interest receivable (1)</w:t>
            </w:r>
          </w:p>
        </w:tc>
        <w:tc>
          <w:tcPr>
            <w:tcW w:w="935"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Level 1/2/3</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16,012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16,012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16,230</w:t>
            </w:r>
          </w:p>
        </w:tc>
        <w:tc>
          <w:tcPr>
            <w:tcW w:w="60" w:type="dxa"/>
            <w:tcBorders/>
            <w:shd w:fill="FFFFFF" w:val="clear"/>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43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Notional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Fair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Notional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Fair</w:t>
            </w:r>
          </w:p>
        </w:tc>
        <w:tc>
          <w:tcPr>
            <w:tcW w:w="60" w:type="dxa"/>
            <w:tcBorders/>
            <w:shd w:fill="FFFFFF" w:val="clear"/>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Value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Value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Value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Value</w:t>
            </w:r>
          </w:p>
        </w:tc>
        <w:tc>
          <w:tcPr>
            <w:tcW w:w="60" w:type="dxa"/>
            <w:tcBorders/>
            <w:shd w:fill="CCEEFF" w:val="clear"/>
            <w:vAlign w:val="center"/>
          </w:tcPr>
          <w:p>
            <w:pPr>
              <w:pStyle w:val="TableContents"/>
              <w:bidi w:val="0"/>
              <w:spacing w:before="0" w:after="283"/>
              <w:jc w:val="left"/>
              <w:rPr/>
            </w:pPr>
            <w:r>
              <w:rPr/>
              <w:t> </w:t>
            </w:r>
          </w:p>
        </w:tc>
      </w:tr>
      <w:tr>
        <w:trPr/>
        <w:tc>
          <w:tcPr>
            <w:tcW w:w="443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Derivative Assets:</w:t>
            </w:r>
          </w:p>
        </w:tc>
        <w:tc>
          <w:tcPr>
            <w:tcW w:w="93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lineRule="auto" w:line="288"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Forward mortgage loan sale contracts (1)</w:t>
            </w:r>
          </w:p>
        </w:tc>
        <w:tc>
          <w:tcPr>
            <w:tcW w:w="935"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Level 3</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c>
          <w:tcPr>
            <w:tcW w:w="60" w:type="dxa"/>
            <w:tcBorders/>
            <w:shd w:fill="CCEEFF" w:val="clear"/>
            <w:vAlign w:val="center"/>
          </w:tcPr>
          <w:p>
            <w:pPr>
              <w:pStyle w:val="TableContents"/>
              <w:bidi w:val="0"/>
              <w:spacing w:before="0" w:after="283"/>
              <w:jc w:val="left"/>
              <w:rPr/>
            </w:pPr>
            <w:r>
              <w:rPr/>
              <w:t> </w:t>
            </w:r>
          </w:p>
        </w:tc>
      </w:tr>
      <w:tr>
        <w:trPr/>
        <w:tc>
          <w:tcPr>
            <w:tcW w:w="443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70" w:type="dxa"/>
            <w:gridSpan w:val="2"/>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Carrying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70" w:type="dxa"/>
            <w:gridSpan w:val="2"/>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Fair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70" w:type="dxa"/>
            <w:gridSpan w:val="2"/>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Carrying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70" w:type="dxa"/>
            <w:gridSpan w:val="2"/>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Fair</w:t>
            </w:r>
          </w:p>
        </w:tc>
        <w:tc>
          <w:tcPr>
            <w:tcW w:w="60" w:type="dxa"/>
            <w:tcBorders/>
            <w:shd w:fill="CCEEFF" w:val="clear"/>
            <w:vAlign w:val="center"/>
          </w:tcPr>
          <w:p>
            <w:pPr>
              <w:pStyle w:val="TableContents"/>
              <w:bidi w:val="0"/>
              <w:spacing w:before="0" w:after="283"/>
              <w:jc w:val="left"/>
              <w:rPr/>
            </w:pPr>
            <w:r>
              <w:rPr/>
              <w:t> </w:t>
            </w:r>
          </w:p>
        </w:tc>
      </w:tr>
      <w:tr>
        <w:trPr/>
        <w:tc>
          <w:tcPr>
            <w:tcW w:w="443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Financial Liabilities:</w:t>
            </w:r>
          </w:p>
        </w:tc>
        <w:tc>
          <w:tcPr>
            <w:tcW w:w="93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Value</w:t>
            </w:r>
          </w:p>
        </w:tc>
        <w:tc>
          <w:tcPr>
            <w:tcW w:w="60" w:type="dxa"/>
            <w:tcBorders/>
            <w:shd w:fill="FFFFFF" w:val="clear"/>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Deposits</w:t>
            </w:r>
          </w:p>
        </w:tc>
        <w:tc>
          <w:tcPr>
            <w:tcW w:w="935"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Level 2</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3,390,641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3,388,221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3,350,398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3,350,982</w:t>
            </w:r>
          </w:p>
        </w:tc>
        <w:tc>
          <w:tcPr>
            <w:tcW w:w="60" w:type="dxa"/>
            <w:tcBorders/>
            <w:shd w:fill="CCEEFF" w:val="clear"/>
            <w:vAlign w:val="center"/>
          </w:tcPr>
          <w:p>
            <w:pPr>
              <w:pStyle w:val="TableContents"/>
              <w:bidi w:val="0"/>
              <w:spacing w:before="0" w:after="283"/>
              <w:jc w:val="left"/>
              <w:rPr/>
            </w:pPr>
            <w:r>
              <w:rPr/>
              <w:t> </w:t>
            </w:r>
          </w:p>
        </w:tc>
      </w:tr>
      <w:tr>
        <w:trPr/>
        <w:tc>
          <w:tcPr>
            <w:tcW w:w="44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FHLB advances</w:t>
            </w:r>
          </w:p>
        </w:tc>
        <w:tc>
          <w:tcPr>
            <w:tcW w:w="935"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Level 3</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157,826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129,198</w:t>
            </w:r>
          </w:p>
        </w:tc>
        <w:tc>
          <w:tcPr>
            <w:tcW w:w="60" w:type="dxa"/>
            <w:tcBorders/>
            <w:shd w:fill="FFFFFF" w:val="clear"/>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w:t>
            </w:r>
          </w:p>
        </w:tc>
        <w:tc>
          <w:tcPr>
            <w:tcW w:w="935"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Level 3</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116,131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119,911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114,691</w:t>
            </w:r>
          </w:p>
        </w:tc>
        <w:tc>
          <w:tcPr>
            <w:tcW w:w="60" w:type="dxa"/>
            <w:tcBorders/>
            <w:shd w:fill="CCEEFF" w:val="clear"/>
            <w:vAlign w:val="center"/>
          </w:tcPr>
          <w:p>
            <w:pPr>
              <w:pStyle w:val="TableContents"/>
              <w:bidi w:val="0"/>
              <w:spacing w:before="0" w:after="283"/>
              <w:jc w:val="left"/>
              <w:rPr/>
            </w:pPr>
            <w:r>
              <w:rPr/>
              <w:t> </w:t>
            </w:r>
          </w:p>
        </w:tc>
      </w:tr>
      <w:tr>
        <w:trPr/>
        <w:tc>
          <w:tcPr>
            <w:tcW w:w="44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Subordinated debentures</w:t>
            </w:r>
          </w:p>
        </w:tc>
        <w:tc>
          <w:tcPr>
            <w:tcW w:w="935"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Level 3</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15,227</w:t>
            </w:r>
          </w:p>
        </w:tc>
        <w:tc>
          <w:tcPr>
            <w:tcW w:w="60" w:type="dxa"/>
            <w:tcBorders/>
            <w:shd w:fill="FFFFFF" w:val="clear"/>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lineRule="auto" w:line="288" w:before="0" w:after="0"/>
              <w:ind w:left="0" w:right="0" w:firstLine="360"/>
              <w:jc w:val="left"/>
              <w:rPr>
                <w:rFonts w:ascii="Times New Roman;Times;serif" w:hAnsi="Times New Roman;Times;serif"/>
                <w:sz w:val="20"/>
              </w:rPr>
            </w:pPr>
            <w:r>
              <w:rPr>
                <w:rFonts w:ascii="Times New Roman;Times;serif" w:hAnsi="Times New Roman;Times;serif"/>
                <w:sz w:val="20"/>
              </w:rPr>
              <w:t>Accrued interest payable (2)</w:t>
            </w:r>
          </w:p>
        </w:tc>
        <w:tc>
          <w:tcPr>
            <w:tcW w:w="935"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Level 2/3</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7,960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rFonts w:ascii="Times New Roman" w:hAnsi="Times New Roman"/>
          <w:caps w:val="false"/>
          <w:smallCaps w:val="false"/>
          <w:sz w:val="18"/>
        </w:rPr>
        <w:t>(</w:t>
      </w:r>
      <w:r>
        <w:rPr>
          <w:rStyle w:val="Emphasis"/>
          <w:rFonts w:ascii="Times New Roman" w:hAnsi="Times New Roman"/>
          <w:caps w:val="false"/>
          <w:smallCaps w:val="false"/>
          <w:sz w:val="18"/>
        </w:rPr>
        <w:t>1</w:t>
      </w:r>
      <w:r>
        <w:rPr>
          <w:rFonts w:ascii="Times New Roman" w:hAnsi="Times New Roman"/>
          <w:caps w:val="false"/>
          <w:smallCaps w:val="false"/>
          <w:sz w:val="18"/>
        </w:rPr>
        <w:t>)</w:t>
      </w:r>
      <w:r>
        <w:rPr>
          <w:rFonts w:ascii="Times New Roman" w:hAnsi="Times New Roman"/>
          <w:caps w:val="false"/>
          <w:smallCaps w:val="false"/>
          <w:sz w:val="16"/>
        </w:rPr>
        <w:t xml:space="preserve"> </w:t>
      </w:r>
      <w:r>
        <w:rPr>
          <w:rFonts w:ascii="Times New Roman" w:hAnsi="Times New Roman"/>
          <w:caps w:val="false"/>
          <w:smallCaps w:val="false"/>
          <w:sz w:val="18"/>
        </w:rPr>
        <w:t>Included in “Accrued interest and other assets” on the consolidated balance sheets.</w:t>
      </w:r>
    </w:p>
    <w:p>
      <w:pPr>
        <w:pStyle w:val="TextBody"/>
        <w:bidi w:val="0"/>
        <w:spacing w:before="0" w:after="0"/>
        <w:ind w:left="0" w:right="0" w:hanging="0"/>
        <w:jc w:val="both"/>
        <w:rPr/>
      </w:pPr>
      <w:r>
        <w:rPr>
          <w:rFonts w:ascii="Times New Roman" w:hAnsi="Times New Roman"/>
          <w:caps w:val="false"/>
          <w:smallCaps w:val="false"/>
          <w:sz w:val="18"/>
        </w:rPr>
        <w:t>(</w:t>
      </w:r>
      <w:r>
        <w:rPr>
          <w:rStyle w:val="Emphasis"/>
          <w:rFonts w:ascii="Times New Roman" w:hAnsi="Times New Roman"/>
          <w:caps w:val="false"/>
          <w:smallCaps w:val="false"/>
          <w:sz w:val="18"/>
        </w:rPr>
        <w:t>2</w:t>
      </w:r>
      <w:r>
        <w:rPr>
          <w:rFonts w:ascii="Times New Roman" w:hAnsi="Times New Roman"/>
          <w:caps w:val="false"/>
          <w:smallCaps w:val="false"/>
          <w:sz w:val="18"/>
        </w:rPr>
        <w:t>) Included in “Accrued interest and other liabilities” on the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19</w:t>
      </w:r>
      <w:r>
        <w:rPr>
          <w:rFonts w:ascii="Times New Roman" w:hAnsi="Times New Roman"/>
          <w:b/>
          <w:caps w:val="false"/>
          <w:smallCaps w:val="false"/>
          <w:sz w:val="20"/>
        </w:rPr>
        <w:t xml:space="preserve"> - EARNINGS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following is a reconciliation of net income and shares outstanding to the net income and number of shares used to compute earnings per share (“EPS”) for the periods indicated:</w:t>
      </w:r>
    </w:p>
    <w:p>
      <w:pPr>
        <w:pStyle w:val="TextBody"/>
        <w:bidi w:val="0"/>
        <w:spacing w:before="0" w:after="0"/>
        <w:ind w:left="0" w:right="0" w:firstLine="540"/>
        <w:jc w:val="both"/>
        <w:rPr>
          <w:caps w:val="false"/>
          <w:smallCaps w:val="false"/>
        </w:rPr>
      </w:pPr>
      <w:r>
        <w:rPr>
          <w:caps w:val="false"/>
          <w:smallCaps w:val="false"/>
        </w:rPr>
        <w:t> </w:t>
      </w:r>
    </w:p>
    <w:tbl>
      <w:tblPr>
        <w:tblW w:w="10085" w:type="dxa"/>
        <w:jc w:val="left"/>
        <w:tblInd w:w="0" w:type="dxa"/>
        <w:tblLayout w:type="fixed"/>
        <w:tblCellMar>
          <w:top w:w="0" w:type="dxa"/>
          <w:left w:w="0" w:type="dxa"/>
          <w:bottom w:w="0" w:type="dxa"/>
          <w:right w:w="0" w:type="dxa"/>
        </w:tblCellMar>
      </w:tblPr>
      <w:tblGrid>
        <w:gridCol w:w="4250"/>
        <w:gridCol w:w="60"/>
        <w:gridCol w:w="125"/>
        <w:gridCol w:w="590"/>
        <w:gridCol w:w="60"/>
        <w:gridCol w:w="60"/>
        <w:gridCol w:w="60"/>
        <w:gridCol w:w="950"/>
        <w:gridCol w:w="60"/>
        <w:gridCol w:w="60"/>
        <w:gridCol w:w="125"/>
        <w:gridCol w:w="590"/>
        <w:gridCol w:w="60"/>
        <w:gridCol w:w="60"/>
        <w:gridCol w:w="60"/>
        <w:gridCol w:w="950"/>
        <w:gridCol w:w="80"/>
        <w:gridCol w:w="60"/>
        <w:gridCol w:w="130"/>
        <w:gridCol w:w="505"/>
        <w:gridCol w:w="60"/>
        <w:gridCol w:w="60"/>
        <w:gridCol w:w="60"/>
        <w:gridCol w:w="950"/>
        <w:gridCol w:w="60"/>
      </w:tblGrid>
      <w:tr>
        <w:trPr/>
        <w:tc>
          <w:tcPr>
            <w:tcW w:w="4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715"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Three Months Ended</w:t>
            </w:r>
          </w:p>
        </w:tc>
        <w:tc>
          <w:tcPr>
            <w:tcW w:w="60" w:type="dxa"/>
            <w:tcBorders/>
            <w:shd w:fill="FFFF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4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4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 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2025</w:t>
            </w:r>
          </w:p>
        </w:tc>
        <w:tc>
          <w:tcPr>
            <w:tcW w:w="60" w:type="dxa"/>
            <w:tcBorders/>
            <w:shd w:fill="FFFF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60" w:type="dxa"/>
            <w:tcBorders/>
            <w:shd w:fill="FFFF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15" w:type="dxa"/>
            <w:gridSpan w:val="22"/>
            <w:tcBorders/>
            <w:shd w:fill="FFFFFF" w:val="clear"/>
            <w:vAlign w:val="center"/>
          </w:tcPr>
          <w:p>
            <w:pPr>
              <w:pStyle w:val="TableContents"/>
              <w:bidi w:val="0"/>
              <w:spacing w:before="0" w:after="283"/>
              <w:jc w:val="center"/>
              <w:rPr>
                <w:rFonts w:ascii="Times New Roman;Times;serif" w:hAnsi="Times New Roman;Times;serif"/>
                <w:b/>
                <w:i/>
                <w:sz w:val="20"/>
              </w:rPr>
            </w:pPr>
            <w:r>
              <w:rPr>
                <w:rFonts w:ascii="Times New Roman;Times;serif" w:hAnsi="Times New Roman;Times;serif"/>
                <w:b/>
                <w:i/>
                <w:sz w:val="20"/>
              </w:rPr>
              <w:t>(dollars in thousands except per share data)</w:t>
            </w:r>
          </w:p>
        </w:tc>
        <w:tc>
          <w:tcPr>
            <w:tcW w:w="60"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outstanding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16,985,919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17,074,159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17,699,091</w:t>
            </w:r>
          </w:p>
        </w:tc>
        <w:tc>
          <w:tcPr>
            <w:tcW w:w="60"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Impact of weighting shares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(10,402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05" w:type="dxa"/>
            <w:tcBorders>
              <w:bottom w:val="single" w:sz="2" w:space="0" w:color="000000"/>
            </w:tcBorders>
            <w:shd w:fill="CCEEFF" w:val="clear"/>
            <w:tcMar>
              <w:bottom w:w="28" w:type="dxa"/>
            </w:tcM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47,516</w:t>
            </w:r>
          </w:p>
        </w:tc>
        <w:tc>
          <w:tcPr>
            <w:tcW w:w="60"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0"/>
              <w:ind w:left="36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Used in basic EPS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17,011,624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17,063,757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5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17,746,607</w:t>
            </w:r>
          </w:p>
        </w:tc>
        <w:tc>
          <w:tcPr>
            <w:tcW w:w="60"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ind w:left="36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Dilutive effect of outstanding stock options &amp; RSUs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130,118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110,769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05" w:type="dxa"/>
            <w:tcBorders>
              <w:bottom w:val="single" w:sz="2" w:space="0" w:color="000000"/>
            </w:tcBorders>
            <w:shd w:fill="CCEEFF" w:val="clear"/>
            <w:tcMar>
              <w:bottom w:w="28" w:type="dxa"/>
            </w:tcM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51,128</w:t>
            </w:r>
          </w:p>
        </w:tc>
        <w:tc>
          <w:tcPr>
            <w:tcW w:w="60"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Used in dilutive EPS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17,141,742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17,174,526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17,797,735</w:t>
            </w:r>
          </w:p>
        </w:tc>
        <w:tc>
          <w:tcPr>
            <w:tcW w:w="60"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earnings per common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earnings per common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caps w:val="false"/>
          <w:smallCaps w:val="false"/>
        </w:rPr>
      </w:pPr>
      <w:r>
        <w:rPr>
          <w:caps w:val="false"/>
          <w:smallCaps w:val="false"/>
        </w:rPr>
        <w:t> </w:t>
      </w:r>
    </w:p>
    <w:tbl>
      <w:tblPr>
        <w:tblW w:w="8180" w:type="dxa"/>
        <w:jc w:val="left"/>
        <w:tblInd w:w="0" w:type="dxa"/>
        <w:tblLayout w:type="fixed"/>
        <w:tblCellMar>
          <w:top w:w="0" w:type="dxa"/>
          <w:left w:w="0" w:type="dxa"/>
          <w:bottom w:w="0" w:type="dxa"/>
          <w:right w:w="0" w:type="dxa"/>
        </w:tblCellMar>
      </w:tblPr>
      <w:tblGrid>
        <w:gridCol w:w="4250"/>
        <w:gridCol w:w="60"/>
        <w:gridCol w:w="125"/>
        <w:gridCol w:w="590"/>
        <w:gridCol w:w="60"/>
        <w:gridCol w:w="60"/>
        <w:gridCol w:w="60"/>
        <w:gridCol w:w="950"/>
        <w:gridCol w:w="60"/>
        <w:gridCol w:w="60"/>
        <w:gridCol w:w="125"/>
        <w:gridCol w:w="590"/>
        <w:gridCol w:w="60"/>
        <w:gridCol w:w="60"/>
        <w:gridCol w:w="60"/>
        <w:gridCol w:w="950"/>
        <w:gridCol w:w="60"/>
      </w:tblGrid>
      <w:tr>
        <w:trPr/>
        <w:tc>
          <w:tcPr>
            <w:tcW w:w="4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10"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Six Months Ended June 30,</w:t>
            </w:r>
          </w:p>
        </w:tc>
        <w:tc>
          <w:tcPr>
            <w:tcW w:w="60" w:type="dxa"/>
            <w:tcBorders/>
            <w:shd w:fill="FFFF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4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4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60" w:type="dxa"/>
            <w:tcBorders/>
            <w:shd w:fill="FFFF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10"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(dollars in thousands except per share data)</w:t>
            </w:r>
          </w:p>
        </w:tc>
        <w:tc>
          <w:tcPr>
            <w:tcW w:w="60"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outstanding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16,985,919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17,699,091</w:t>
            </w:r>
          </w:p>
        </w:tc>
        <w:tc>
          <w:tcPr>
            <w:tcW w:w="60"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Impact of weighting shares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51,627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38,121</w:t>
            </w:r>
          </w:p>
        </w:tc>
        <w:tc>
          <w:tcPr>
            <w:tcW w:w="60"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0"/>
              <w:ind w:left="0" w:right="0" w:firstLine="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Used in basic EPS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17,037,546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17,737,212</w:t>
            </w:r>
          </w:p>
        </w:tc>
        <w:tc>
          <w:tcPr>
            <w:tcW w:w="60"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Dilutive effect of outstanding stock options &amp; RSUs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120,497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47,025</w:t>
            </w:r>
          </w:p>
        </w:tc>
        <w:tc>
          <w:tcPr>
            <w:tcW w:w="60"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0"/>
              <w:ind w:left="0" w:right="0" w:firstLine="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Used in dilutive EPS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17,158,043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17,784,237</w:t>
            </w:r>
          </w:p>
        </w:tc>
        <w:tc>
          <w:tcPr>
            <w:tcW w:w="60"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earnings per common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earnings per common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Options to purchase 12</w:t>
      </w:r>
      <w:r>
        <w:rPr>
          <w:rStyle w:val="Emphasis"/>
          <w:rFonts w:ascii="Times New Roman" w:hAnsi="Times New Roman"/>
          <w:caps w:val="false"/>
          <w:smallCaps w:val="false"/>
          <w:sz w:val="20"/>
          <w:shd w:fill="FFFFFF" w:val="clear"/>
        </w:rPr>
        <w:t>,000,</w:t>
      </w:r>
      <w:r>
        <w:rPr>
          <w:rFonts w:ascii="Times New Roman" w:hAnsi="Times New Roman"/>
          <w:caps w:val="false"/>
          <w:smallCaps w:val="false"/>
          <w:sz w:val="20"/>
          <w:shd w:fill="FFFFFF" w:val="clear"/>
        </w:rPr>
        <w:t xml:space="preserve"> 28</w:t>
      </w:r>
      <w:r>
        <w:rPr>
          <w:rStyle w:val="Emphasis"/>
          <w:rFonts w:ascii="Times New Roman" w:hAnsi="Times New Roman"/>
          <w:caps w:val="false"/>
          <w:smallCaps w:val="false"/>
          <w:sz w:val="20"/>
        </w:rPr>
        <w:t>,000,</w:t>
      </w:r>
      <w:r>
        <w:rPr>
          <w:rFonts w:ascii="Times New Roman" w:hAnsi="Times New Roman"/>
          <w:caps w:val="false"/>
          <w:smallCaps w:val="false"/>
          <w:sz w:val="20"/>
        </w:rPr>
        <w:t xml:space="preserve"> and 155,500 shares of common stock were excluded from the calculation of diluted earnings per share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March 31,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June 30, 2025</w:t>
      </w:r>
      <w:r>
        <w:rPr>
          <w:rFonts w:ascii="Times New Roman" w:hAnsi="Times New Roman"/>
          <w:caps w:val="false"/>
          <w:smallCaps w:val="false"/>
          <w:sz w:val="20"/>
        </w:rPr>
        <w:t>, respectively, because their effect would have been anti-dilutive. Options to purchase 19</w:t>
      </w:r>
      <w:r>
        <w:rPr>
          <w:rStyle w:val="Emphasis"/>
          <w:rFonts w:ascii="Times New Roman" w:hAnsi="Times New Roman"/>
          <w:caps w:val="false"/>
          <w:smallCaps w:val="false"/>
          <w:sz w:val="20"/>
          <w:shd w:fill="FFFFFF" w:val="clear"/>
        </w:rPr>
        <w:t>,956</w:t>
      </w:r>
      <w:r>
        <w:rPr>
          <w:rFonts w:ascii="Times New Roman" w:hAnsi="Times New Roman"/>
          <w:caps w:val="false"/>
          <w:smallCaps w:val="false"/>
          <w:sz w:val="20"/>
          <w:shd w:fill="FFFFFF" w:val="clear"/>
        </w:rPr>
        <w:t> </w:t>
      </w:r>
      <w:r>
        <w:rPr>
          <w:rFonts w:ascii="Times New Roman" w:hAnsi="Times New Roman"/>
          <w:caps w:val="false"/>
          <w:smallCaps w:val="false"/>
          <w:sz w:val="20"/>
        </w:rPr>
        <w:t xml:space="preserve">and 106,771 shares of common stock were excluded from the calculation of diluted earnings per share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respectively, because their effect would have been anti-dilutive. There were</w:t>
      </w:r>
      <w:r>
        <w:rPr>
          <w:rFonts w:ascii="Times New Roman" w:hAnsi="Times New Roman"/>
          <w:caps w:val="false"/>
          <w:smallCaps w:val="false"/>
          <w:sz w:val="20"/>
          <w:shd w:fill="FFFFFF" w:val="clear"/>
        </w:rPr>
        <w:t> zero, zero</w:t>
      </w:r>
      <w:r>
        <w:rPr>
          <w:rFonts w:ascii="Times New Roman" w:hAnsi="Times New Roman"/>
          <w:caps w:val="false"/>
          <w:smallCaps w:val="false"/>
          <w:sz w:val="20"/>
        </w:rPr>
        <w:t xml:space="preserve">, and 14,999 anti-dilutive unvested RSUs outstanding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March 31,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June 30, 2025</w:t>
      </w:r>
      <w:r>
        <w:rPr>
          <w:rFonts w:ascii="Times New Roman" w:hAnsi="Times New Roman"/>
          <w:caps w:val="false"/>
          <w:smallCaps w:val="false"/>
          <w:sz w:val="20"/>
        </w:rPr>
        <w:t>, and zero</w:t>
      </w:r>
      <w:r>
        <w:rPr>
          <w:rFonts w:ascii="Times New Roman" w:hAnsi="Times New Roman"/>
          <w:caps w:val="false"/>
          <w:smallCaps w:val="false"/>
          <w:sz w:val="20"/>
          <w:shd w:fill="FFFFFF" w:val="clear"/>
        </w:rPr>
        <w:t> </w:t>
      </w:r>
      <w:r>
        <w:rPr>
          <w:rFonts w:ascii="Times New Roman" w:hAnsi="Times New Roman"/>
          <w:caps w:val="false"/>
          <w:smallCaps w:val="false"/>
          <w:sz w:val="20"/>
        </w:rPr>
        <w:t xml:space="preserve">and 9,066 anti-dilutive unvested RSUs outstanding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20</w:t>
      </w:r>
      <w:r>
        <w:rPr>
          <w:rFonts w:ascii="Times New Roman" w:hAnsi="Times New Roman"/>
          <w:b/>
          <w:caps w:val="false"/>
          <w:smallCaps w:val="false"/>
          <w:sz w:val="20"/>
        </w:rPr>
        <w:t> </w:t>
      </w:r>
      <w:r>
        <w:rPr>
          <w:rFonts w:ascii="Times New Roman" w:hAnsi="Times New Roman"/>
          <w:caps w:val="false"/>
          <w:smallCaps w:val="false"/>
          <w:sz w:val="20"/>
        </w:rPr>
        <w:t xml:space="preserve">– </w:t>
      </w:r>
      <w:r>
        <w:rPr>
          <w:rFonts w:ascii="Times New Roman" w:hAnsi="Times New Roman"/>
          <w:b/>
          <w:caps w:val="false"/>
          <w:smallCaps w:val="false"/>
          <w:sz w:val="20"/>
        </w:rPr>
        <w:t>REVENUE FROM CONTRACTS WITH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following is a summary of revenue from contracts with customers that are in-scope and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in-scope under ASC Topic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for the periods indicated:</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370"/>
        <w:gridCol w:w="60"/>
        <w:gridCol w:w="229"/>
        <w:gridCol w:w="895"/>
        <w:gridCol w:w="90"/>
        <w:gridCol w:w="68"/>
        <w:gridCol w:w="256"/>
        <w:gridCol w:w="1001"/>
        <w:gridCol w:w="68"/>
        <w:gridCol w:w="68"/>
        <w:gridCol w:w="229"/>
        <w:gridCol w:w="895"/>
        <w:gridCol w:w="60"/>
        <w:gridCol w:w="60"/>
        <w:gridCol w:w="241"/>
        <w:gridCol w:w="937"/>
        <w:gridCol w:w="115"/>
        <w:gridCol w:w="115"/>
        <w:gridCol w:w="241"/>
        <w:gridCol w:w="1139"/>
        <w:gridCol w:w="68"/>
      </w:tblGrid>
      <w:tr>
        <w:trPr/>
        <w:tc>
          <w:tcPr>
            <w:tcW w:w="33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799"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8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Six Months Ended June 30,</w:t>
            </w:r>
          </w:p>
        </w:tc>
        <w:tc>
          <w:tcPr>
            <w:tcW w:w="68" w:type="dxa"/>
            <w:tcBorders/>
            <w:shd w:fill="FFFFFF" w:val="clear"/>
            <w:vAlign w:val="center"/>
          </w:tcPr>
          <w:p>
            <w:pPr>
              <w:pStyle w:val="TableContents"/>
              <w:bidi w:val="0"/>
              <w:spacing w:before="0" w:after="283"/>
              <w:jc w:val="left"/>
              <w:rPr/>
            </w:pPr>
            <w:r>
              <w:rPr/>
              <w:t> </w:t>
            </w:r>
          </w:p>
        </w:tc>
      </w:tr>
      <w:tr>
        <w:trPr/>
        <w:tc>
          <w:tcPr>
            <w:tcW w:w="33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2026</w:t>
            </w:r>
          </w:p>
        </w:tc>
        <w:tc>
          <w:tcPr>
            <w:tcW w:w="9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2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 2026</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1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13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8" w:type="dxa"/>
            <w:tcBorders/>
            <w:shd w:fill="FFFFFF" w:val="clear"/>
            <w:vAlign w:val="center"/>
          </w:tcPr>
          <w:p>
            <w:pPr>
              <w:pStyle w:val="TableContents"/>
              <w:bidi w:val="0"/>
              <w:spacing w:before="0" w:after="283"/>
              <w:jc w:val="left"/>
              <w:rPr/>
            </w:pPr>
            <w:r>
              <w:rPr/>
              <w:t> </w:t>
            </w:r>
          </w:p>
        </w:tc>
      </w:tr>
      <w:tr>
        <w:trPr/>
        <w:tc>
          <w:tcPr>
            <w:tcW w:w="337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Noninterest income, in scope</w:t>
            </w:r>
          </w:p>
        </w:tc>
        <w:tc>
          <w:tcPr>
            <w:tcW w:w="60" w:type="dxa"/>
            <w:tcBorders/>
            <w:shd w:fill="FFFFFF" w:val="clear"/>
            <w:vAlign w:val="center"/>
          </w:tcPr>
          <w:p>
            <w:pPr>
              <w:pStyle w:val="TableContents"/>
              <w:bidi w:val="0"/>
              <w:spacing w:before="0" w:after="283"/>
              <w:ind w:left="0" w:right="0" w:hanging="0"/>
              <w:jc w:val="left"/>
              <w:rPr/>
            </w:pPr>
            <w:r>
              <w:rPr/>
              <w:t> </w:t>
            </w:r>
          </w:p>
        </w:tc>
        <w:tc>
          <w:tcPr>
            <w:tcW w:w="6707" w:type="dxa"/>
            <w:gridSpan w:val="18"/>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i/>
                <w:caps w:val="false"/>
                <w:smallCaps w:val="false"/>
                <w:sz w:val="20"/>
              </w:rPr>
              <w:t>(dollars in thousands)</w:t>
            </w:r>
          </w:p>
        </w:tc>
        <w:tc>
          <w:tcPr>
            <w:tcW w:w="68" w:type="dxa"/>
            <w:tcBorders/>
            <w:shd w:fill="FFFFFF" w:val="clear"/>
            <w:vAlign w:val="center"/>
          </w:tcPr>
          <w:p>
            <w:pPr>
              <w:pStyle w:val="TableContents"/>
              <w:bidi w:val="0"/>
              <w:spacing w:before="0" w:after="283"/>
              <w:jc w:val="left"/>
              <w:rPr/>
            </w:pPr>
            <w:r>
              <w:rPr/>
              <w:t> </w:t>
            </w:r>
          </w:p>
        </w:tc>
      </w:tr>
      <w:tr>
        <w:trPr/>
        <w:tc>
          <w:tcPr>
            <w:tcW w:w="337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Fees and service charges on deposit accounts</w:t>
            </w:r>
          </w:p>
        </w:tc>
        <w:tc>
          <w:tcPr>
            <w:tcW w:w="60" w:type="dxa"/>
            <w:tcBorders/>
            <w:shd w:fill="CCEEFF" w:val="clear"/>
            <w:vAlign w:val="center"/>
          </w:tcPr>
          <w:p>
            <w:pPr>
              <w:pStyle w:val="TableContents"/>
              <w:bidi w:val="0"/>
              <w:spacing w:before="0" w:after="283"/>
              <w:ind w:left="0" w:right="0" w:hanging="0"/>
              <w:jc w:val="left"/>
              <w:rPr/>
            </w:pPr>
            <w:r>
              <w:rPr/>
              <w:t> </w:t>
            </w:r>
          </w:p>
        </w:tc>
        <w:tc>
          <w:tcPr>
            <w:tcW w:w="2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505</w:t>
            </w:r>
          </w:p>
        </w:tc>
        <w:tc>
          <w:tcPr>
            <w:tcW w:w="9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2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481</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2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986</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2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949</w:t>
            </w:r>
          </w:p>
        </w:tc>
        <w:tc>
          <w:tcPr>
            <w:tcW w:w="68" w:type="dxa"/>
            <w:tcBorders/>
            <w:shd w:fill="CCEEFF" w:val="clear"/>
            <w:vAlign w:val="center"/>
          </w:tcPr>
          <w:p>
            <w:pPr>
              <w:pStyle w:val="TableContents"/>
              <w:bidi w:val="0"/>
              <w:spacing w:before="0" w:after="283"/>
              <w:jc w:val="left"/>
              <w:rPr/>
            </w:pPr>
            <w:r>
              <w:rPr/>
              <w:t> </w:t>
            </w:r>
          </w:p>
        </w:tc>
      </w:tr>
      <w:tr>
        <w:trPr/>
        <w:tc>
          <w:tcPr>
            <w:tcW w:w="3370" w:type="dxa"/>
            <w:tcBorders/>
            <w:shd w:fill="FFFFFF" w:val="clear"/>
            <w:vAlign w:val="center"/>
          </w:tcPr>
          <w:p>
            <w:pPr>
              <w:pStyle w:val="TableContents"/>
              <w:bidi w:val="0"/>
              <w:spacing w:lineRule="auto" w:line="288"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fees (1)</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ind w:left="0" w:right="0" w:hanging="0"/>
              <w:jc w:val="left"/>
              <w:rPr/>
            </w:pPr>
            <w:r>
              <w:rPr/>
              <w:t> </w:t>
            </w:r>
          </w:p>
        </w:tc>
        <w:tc>
          <w:tcPr>
            <w:tcW w:w="8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w:t>
            </w:r>
          </w:p>
        </w:tc>
        <w:tc>
          <w:tcPr>
            <w:tcW w:w="9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ind w:left="0" w:right="0" w:hanging="0"/>
              <w:jc w:val="left"/>
              <w:rPr/>
            </w:pPr>
            <w:r>
              <w:rPr/>
              <w:t> </w:t>
            </w:r>
          </w:p>
        </w:tc>
        <w:tc>
          <w:tcPr>
            <w:tcW w:w="10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ind w:left="0" w:right="0" w:hanging="0"/>
              <w:jc w:val="left"/>
              <w:rPr/>
            </w:pPr>
            <w:r>
              <w:rPr/>
              <w:t> </w:t>
            </w:r>
          </w:p>
        </w:tc>
        <w:tc>
          <w:tcPr>
            <w:tcW w:w="8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pPr>
            <w:r>
              <w:rPr/>
              <w:t> </w:t>
            </w:r>
          </w:p>
        </w:tc>
        <w:tc>
          <w:tcPr>
            <w:tcW w:w="9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pPr>
            <w:r>
              <w:rPr/>
              <w:t> </w:t>
            </w:r>
          </w:p>
        </w:tc>
        <w:tc>
          <w:tcPr>
            <w:tcW w:w="11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417</w:t>
            </w:r>
          </w:p>
        </w:tc>
        <w:tc>
          <w:tcPr>
            <w:tcW w:w="68" w:type="dxa"/>
            <w:tcBorders/>
            <w:shd w:fill="FFFFFF" w:val="clear"/>
            <w:vAlign w:val="center"/>
          </w:tcPr>
          <w:p>
            <w:pPr>
              <w:pStyle w:val="TableContents"/>
              <w:bidi w:val="0"/>
              <w:spacing w:before="0" w:after="283"/>
              <w:jc w:val="left"/>
              <w:rPr/>
            </w:pPr>
            <w:r>
              <w:rPr/>
              <w:t> </w:t>
            </w:r>
          </w:p>
        </w:tc>
      </w:tr>
      <w:tr>
        <w:trPr/>
        <w:tc>
          <w:tcPr>
            <w:tcW w:w="3370" w:type="dxa"/>
            <w:tcBorders/>
            <w:shd w:fill="CCEEFF" w:val="clear"/>
            <w:vAlign w:val="center"/>
          </w:tcPr>
          <w:p>
            <w:pPr>
              <w:pStyle w:val="TableContents"/>
              <w:bidi w:val="0"/>
              <w:spacing w:lineRule="auto" w:line="288"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(2)</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ind w:left="0" w:right="0" w:hanging="0"/>
              <w:jc w:val="left"/>
              <w:rPr/>
            </w:pPr>
            <w:r>
              <w:rPr/>
              <w:t> </w:t>
            </w:r>
          </w:p>
        </w:tc>
        <w:tc>
          <w:tcPr>
            <w:tcW w:w="8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599</w:t>
            </w:r>
          </w:p>
        </w:tc>
        <w:tc>
          <w:tcPr>
            <w:tcW w:w="9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ind w:left="0" w:right="0" w:hanging="0"/>
              <w:jc w:val="left"/>
              <w:rPr/>
            </w:pPr>
            <w:r>
              <w:rPr/>
              <w:t> </w:t>
            </w:r>
          </w:p>
        </w:tc>
        <w:tc>
          <w:tcPr>
            <w:tcW w:w="10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551</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ind w:left="0" w:right="0" w:hanging="0"/>
              <w:jc w:val="left"/>
              <w:rPr/>
            </w:pPr>
            <w:r>
              <w:rPr/>
              <w:t> </w:t>
            </w:r>
          </w:p>
        </w:tc>
        <w:tc>
          <w:tcPr>
            <w:tcW w:w="8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9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1,150</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11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1,128</w:t>
            </w:r>
          </w:p>
        </w:tc>
        <w:tc>
          <w:tcPr>
            <w:tcW w:w="68" w:type="dxa"/>
            <w:tcBorders/>
            <w:shd w:fill="CCEEFF" w:val="clear"/>
            <w:vAlign w:val="center"/>
          </w:tcPr>
          <w:p>
            <w:pPr>
              <w:pStyle w:val="TableContents"/>
              <w:bidi w:val="0"/>
              <w:spacing w:before="0" w:after="283"/>
              <w:jc w:val="left"/>
              <w:rPr/>
            </w:pPr>
            <w:r>
              <w:rPr/>
              <w:t> </w:t>
            </w:r>
          </w:p>
        </w:tc>
      </w:tr>
      <w:tr>
        <w:trPr/>
        <w:tc>
          <w:tcPr>
            <w:tcW w:w="337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(Loss)/gain on OREO</w:t>
            </w:r>
          </w:p>
        </w:tc>
        <w:tc>
          <w:tcPr>
            <w:tcW w:w="60" w:type="dxa"/>
            <w:tcBorders/>
            <w:shd w:fill="FFFFFF" w:val="clear"/>
            <w:vAlign w:val="center"/>
          </w:tcPr>
          <w:p>
            <w:pPr>
              <w:pStyle w:val="TableContents"/>
              <w:bidi w:val="0"/>
              <w:spacing w:before="0" w:after="283"/>
              <w:jc w:val="left"/>
              <w:rPr/>
            </w:pPr>
            <w:r>
              <w:rPr/>
              <w:t> </w:t>
            </w:r>
          </w:p>
        </w:tc>
        <w:tc>
          <w:tcPr>
            <w:tcW w:w="2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w:t>
            </w:r>
          </w:p>
        </w:tc>
        <w:tc>
          <w:tcPr>
            <w:tcW w:w="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FFFFFF" w:val="clear"/>
            <w:vAlign w:val="center"/>
          </w:tcPr>
          <w:p>
            <w:pPr>
              <w:pStyle w:val="TableContents"/>
              <w:bidi w:val="0"/>
              <w:spacing w:before="0" w:after="283"/>
              <w:jc w:val="left"/>
              <w:rPr/>
            </w:pPr>
            <w:r>
              <w:rPr/>
              <w:t> </w:t>
            </w:r>
          </w:p>
        </w:tc>
        <w:tc>
          <w:tcPr>
            <w:tcW w:w="2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890</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669</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8" w:type="dxa"/>
            <w:tcBorders/>
            <w:shd w:fill="FFFFFF" w:val="clear"/>
            <w:vAlign w:val="center"/>
          </w:tcPr>
          <w:p>
            <w:pPr>
              <w:pStyle w:val="TableContents"/>
              <w:bidi w:val="0"/>
              <w:spacing w:before="0" w:after="283"/>
              <w:jc w:val="left"/>
              <w:rPr/>
            </w:pPr>
            <w:r>
              <w:rPr/>
              <w:t> </w:t>
            </w:r>
          </w:p>
        </w:tc>
      </w:tr>
      <w:tr>
        <w:trPr/>
        <w:tc>
          <w:tcPr>
            <w:tcW w:w="33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in-scope noninterest income</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ind w:left="0" w:right="0" w:hanging="0"/>
              <w:jc w:val="left"/>
              <w:rPr/>
            </w:pPr>
            <w:r>
              <w:rPr/>
              <w:t> </w:t>
            </w:r>
          </w:p>
        </w:tc>
        <w:tc>
          <w:tcPr>
            <w:tcW w:w="8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1,052</w:t>
            </w:r>
          </w:p>
        </w:tc>
        <w:tc>
          <w:tcPr>
            <w:tcW w:w="9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ind w:left="0" w:right="0" w:hanging="0"/>
              <w:jc w:val="left"/>
              <w:rPr/>
            </w:pPr>
            <w:r>
              <w:rPr/>
              <w:t> </w:t>
            </w:r>
          </w:p>
        </w:tc>
        <w:tc>
          <w:tcPr>
            <w:tcW w:w="10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2,073</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ind w:left="0" w:right="0" w:hanging="0"/>
              <w:jc w:val="left"/>
              <w:rPr/>
            </w:pPr>
            <w:r>
              <w:rPr/>
              <w:t> </w:t>
            </w:r>
          </w:p>
        </w:tc>
        <w:tc>
          <w:tcPr>
            <w:tcW w:w="8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9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3,125</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11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2,494</w:t>
            </w:r>
          </w:p>
        </w:tc>
        <w:tc>
          <w:tcPr>
            <w:tcW w:w="68" w:type="dxa"/>
            <w:tcBorders/>
            <w:shd w:fill="CCEEFF" w:val="clear"/>
            <w:vAlign w:val="center"/>
          </w:tcPr>
          <w:p>
            <w:pPr>
              <w:pStyle w:val="TableContents"/>
              <w:bidi w:val="0"/>
              <w:spacing w:before="0" w:after="283"/>
              <w:jc w:val="left"/>
              <w:rPr/>
            </w:pPr>
            <w:r>
              <w:rPr/>
              <w:t> </w:t>
            </w:r>
          </w:p>
        </w:tc>
      </w:tr>
      <w:tr>
        <w:trPr/>
        <w:tc>
          <w:tcPr>
            <w:tcW w:w="3370"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Noninterest income, not in scope (3)</w:t>
            </w:r>
          </w:p>
        </w:tc>
        <w:tc>
          <w:tcPr>
            <w:tcW w:w="60" w:type="dxa"/>
            <w:tcBorders/>
            <w:shd w:fill="FFFFFF" w:val="clear"/>
            <w:vAlign w:val="center"/>
          </w:tcPr>
          <w:p>
            <w:pPr>
              <w:pStyle w:val="TableContents"/>
              <w:bidi w:val="0"/>
              <w:spacing w:before="0" w:after="283"/>
              <w:jc w:val="left"/>
              <w:rPr/>
            </w:pPr>
            <w:r>
              <w:rPr/>
              <w:t> </w:t>
            </w:r>
          </w:p>
        </w:tc>
        <w:tc>
          <w:tcPr>
            <w:tcW w:w="2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1,966</w:t>
            </w:r>
          </w:p>
        </w:tc>
        <w:tc>
          <w:tcPr>
            <w:tcW w:w="9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2,178</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4,144</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8,279</w:t>
            </w:r>
          </w:p>
        </w:tc>
        <w:tc>
          <w:tcPr>
            <w:tcW w:w="68" w:type="dxa"/>
            <w:tcBorders/>
            <w:shd w:fill="FFFFFF" w:val="clear"/>
            <w:vAlign w:val="center"/>
          </w:tcPr>
          <w:p>
            <w:pPr>
              <w:pStyle w:val="TableContents"/>
              <w:bidi w:val="0"/>
              <w:spacing w:before="0" w:after="283"/>
              <w:jc w:val="left"/>
              <w:rPr/>
            </w:pPr>
            <w:r>
              <w:rPr/>
              <w:t> </w:t>
            </w:r>
          </w:p>
        </w:tc>
      </w:tr>
      <w:tr>
        <w:trPr/>
        <w:tc>
          <w:tcPr>
            <w:tcW w:w="33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noninterest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2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3,018</w:t>
            </w:r>
          </w:p>
        </w:tc>
        <w:tc>
          <w:tcPr>
            <w:tcW w:w="9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2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4,251</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2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7,269</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10,773</w:t>
            </w:r>
          </w:p>
        </w:tc>
        <w:tc>
          <w:tcPr>
            <w:tcW w:w="6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tbl>
      <w:tblPr>
        <w:tblW w:w="7795" w:type="dxa"/>
        <w:jc w:val="left"/>
        <w:tblInd w:w="0" w:type="dxa"/>
        <w:tblLayout w:type="fixed"/>
        <w:tblCellMar>
          <w:top w:w="0" w:type="dxa"/>
          <w:left w:w="0" w:type="dxa"/>
          <w:bottom w:w="0" w:type="dxa"/>
          <w:right w:w="0" w:type="dxa"/>
        </w:tblCellMar>
      </w:tblPr>
      <w:tblGrid>
        <w:gridCol w:w="60"/>
        <w:gridCol w:w="230"/>
        <w:gridCol w:w="750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both"/>
              <w:rPr/>
            </w:pPr>
            <w:r>
              <w:rPr>
                <w:rFonts w:ascii="Times New Roman" w:hAnsi="Times New Roman"/>
                <w:caps w:val="false"/>
                <w:smallCaps w:val="false"/>
                <w:sz w:val="18"/>
              </w:rPr>
              <w:t>(</w:t>
            </w:r>
            <w:r>
              <w:rPr>
                <w:rStyle w:val="Emphasis"/>
                <w:rFonts w:ascii="Times New Roman" w:hAnsi="Times New Roman"/>
                <w:caps w:val="false"/>
                <w:smallCaps w:val="false"/>
                <w:sz w:val="18"/>
              </w:rPr>
              <w:t>1</w:t>
            </w:r>
            <w:r>
              <w:rPr>
                <w:rFonts w:ascii="Times New Roman" w:hAnsi="Times New Roman"/>
                <w:caps w:val="false"/>
                <w:smallCaps w:val="false"/>
                <w:sz w:val="18"/>
              </w:rPr>
              <w:t>)</w:t>
            </w:r>
          </w:p>
        </w:tc>
        <w:tc>
          <w:tcPr>
            <w:tcW w:w="7505" w:type="dxa"/>
            <w:tcBorders/>
            <w:vAlign w:val="center"/>
          </w:tcPr>
          <w:p>
            <w:pPr>
              <w:pStyle w:val="TableContents"/>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Other fees consist primarily of wealth management fees, miscellaneous loan fees and postage/courier fees.</w:t>
            </w:r>
          </w:p>
        </w:tc>
      </w:tr>
    </w:tbl>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ind w:left="0" w:right="0" w:hanging="0"/>
              <w:jc w:val="both"/>
              <w:rPr/>
            </w:pPr>
            <w:r>
              <w:rPr>
                <w:rFonts w:ascii="Times New Roman" w:hAnsi="Times New Roman"/>
                <w:caps w:val="false"/>
                <w:smallCaps w:val="false"/>
                <w:sz w:val="18"/>
              </w:rPr>
              <w:t>(</w:t>
            </w:r>
            <w:r>
              <w:rPr>
                <w:rStyle w:val="Emphasis"/>
                <w:rFonts w:ascii="Times New Roman" w:hAnsi="Times New Roman"/>
                <w:caps w:val="false"/>
                <w:smallCaps w:val="false"/>
                <w:sz w:val="18"/>
              </w:rPr>
              <w:t>2</w:t>
            </w:r>
            <w:r>
              <w:rPr>
                <w:rFonts w:ascii="Times New Roman" w:hAnsi="Times New Roman"/>
                <w:caps w:val="false"/>
                <w:smallCaps w:val="false"/>
                <w:sz w:val="18"/>
              </w:rPr>
              <w:t>)</w:t>
            </w:r>
          </w:p>
        </w:tc>
        <w:tc>
          <w:tcPr>
            <w:tcW w:w="9950" w:type="dxa"/>
            <w:tcBorders/>
            <w:vAlign w:val="center"/>
          </w:tcPr>
          <w:p>
            <w:pPr>
              <w:pStyle w:val="TableContents"/>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Other income consists primarily of safe deposit box rental income, wire transfer fees, security brokerage fees, annuity sales, insurance activity, OREO income, and gain on sale of fixed assets.</w:t>
            </w:r>
          </w:p>
        </w:tc>
      </w:tr>
    </w:tbl>
    <w:tbl>
      <w:tblPr>
        <w:tblW w:w="10205" w:type="dxa"/>
        <w:jc w:val="left"/>
        <w:tblInd w:w="0" w:type="dxa"/>
        <w:tblLayout w:type="fixed"/>
        <w:tblCellMar>
          <w:top w:w="0" w:type="dxa"/>
          <w:left w:w="0" w:type="dxa"/>
          <w:bottom w:w="0" w:type="dxa"/>
          <w:right w:w="0" w:type="dxa"/>
        </w:tblCellMar>
      </w:tblPr>
      <w:tblGrid>
        <w:gridCol w:w="60"/>
        <w:gridCol w:w="149"/>
        <w:gridCol w:w="9996"/>
      </w:tblGrid>
      <w:tr>
        <w:trPr/>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ind w:left="0" w:right="0" w:hanging="0"/>
              <w:jc w:val="both"/>
              <w:rPr/>
            </w:pPr>
            <w:r>
              <w:rPr>
                <w:rFonts w:ascii="Times New Roman" w:hAnsi="Times New Roman"/>
                <w:caps w:val="false"/>
                <w:smallCaps w:val="false"/>
                <w:sz w:val="18"/>
              </w:rPr>
              <w:t>(</w:t>
            </w:r>
            <w:r>
              <w:rPr>
                <w:rStyle w:val="Emphasis"/>
                <w:rFonts w:ascii="Times New Roman" w:hAnsi="Times New Roman"/>
                <w:caps w:val="false"/>
                <w:smallCaps w:val="false"/>
                <w:sz w:val="18"/>
              </w:rPr>
              <w:t>3</w:t>
            </w:r>
            <w:r>
              <w:rPr>
                <w:rFonts w:ascii="Times New Roman" w:hAnsi="Times New Roman"/>
                <w:caps w:val="false"/>
                <w:smallCaps w:val="false"/>
                <w:sz w:val="18"/>
              </w:rPr>
              <w:t>)</w:t>
            </w:r>
          </w:p>
        </w:tc>
        <w:tc>
          <w:tcPr>
            <w:tcW w:w="9996" w:type="dxa"/>
            <w:tcBorders/>
            <w:vAlign w:val="center"/>
          </w:tcPr>
          <w:p>
            <w:pPr>
              <w:pStyle w:val="TableContents"/>
              <w:bidi w:val="0"/>
              <w:spacing w:before="0" w:after="0"/>
              <w:ind w:left="0" w:right="0" w:hanging="0"/>
              <w:jc w:val="both"/>
              <w:rPr/>
            </w:pPr>
            <w:r>
              <w:rPr>
                <w:rFonts w:ascii="Times New Roman" w:hAnsi="Times New Roman"/>
                <w:caps w:val="false"/>
                <w:smallCaps w:val="false"/>
                <w:sz w:val="18"/>
              </w:rPr>
              <w:t xml:space="preserve">Noninterest income outside the scope of ASC </w:t>
            </w:r>
            <w:r>
              <w:rPr>
                <w:rStyle w:val="Emphasis"/>
                <w:rFonts w:ascii="Times New Roman" w:hAnsi="Times New Roman"/>
                <w:caps w:val="false"/>
                <w:smallCaps w:val="false"/>
                <w:sz w:val="18"/>
              </w:rPr>
              <w:t>606</w:t>
            </w:r>
            <w:r>
              <w:rPr>
                <w:rFonts w:ascii="Times New Roman" w:hAnsi="Times New Roman"/>
                <w:caps w:val="false"/>
                <w:smallCaps w:val="false"/>
                <w:sz w:val="18"/>
              </w:rPr>
              <w:t xml:space="preserve"> consists primarily of net loan servicing income, letter of credit commissions, BOLI income, gains on sales of loans, other income from equity investments, recoveries on loans acquired in a business combination and other grant income including the Employee Retention Tax Credit of $5.2 million received in the </w:t>
            </w:r>
            <w:r>
              <w:rPr>
                <w:rStyle w:val="Emphasis"/>
                <w:rFonts w:ascii="Times New Roman" w:hAnsi="Times New Roman"/>
                <w:caps w:val="false"/>
                <w:smallCaps w:val="false"/>
                <w:sz w:val="18"/>
              </w:rPr>
              <w:t>second</w:t>
            </w:r>
            <w:r>
              <w:rPr>
                <w:rFonts w:ascii="Times New Roman" w:hAnsi="Times New Roman"/>
                <w:caps w:val="false"/>
                <w:smallCaps w:val="false"/>
                <w:sz w:val="18"/>
              </w:rPr>
              <w:t xml:space="preserve"> quarter of </w:t>
            </w:r>
            <w:r>
              <w:rPr>
                <w:rStyle w:val="Emphasis"/>
                <w:rFonts w:ascii="Times New Roman" w:hAnsi="Times New Roman"/>
                <w:caps w:val="false"/>
                <w:smallCaps w:val="false"/>
                <w:sz w:val="18"/>
              </w:rPr>
              <w:t>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both"/>
        <w:rPr/>
      </w:pPr>
      <w:r>
        <w:rPr>
          <w:rFonts w:ascii="Times New Roman" w:hAnsi="Times New Roman"/>
          <w:caps w:val="false"/>
          <w:smallCaps w:val="false"/>
          <w:sz w:val="20"/>
        </w:rPr>
        <w:t xml:space="preserve">The major revenue streams by fee type that are within the scope of 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presented in the above tables are described in additional detail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Fees and Services Charges on Deposit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Fees and service charges on deposit accounts include charges for analysis, overdraft, cashier's check fees, ATM, and safe deposit activities executed by our deposit clients, as well as interchange income earned through card payment networks for the acceptance of card based transactions. Fees earned from our deposit clients are governed by contracts that provide for overall custody and access to deposited funds and other related services and can be terminated at will by either party; this includes fees from money service businesses. Fees received from deposit clients for the various deposit activities are recognized as revenue once the performance obligations are met. Periodic service charges are generally collected monthly directly from the customer’s deposit account, and at the end of a statement cycle, while transaction based service charges are typically collected at the time of or soon after the service is performed.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Wealth Management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In our wealth management division, revenue is primarily generated from (</w:t>
      </w:r>
      <w:r>
        <w:rPr>
          <w:rStyle w:val="Emphasis"/>
          <w:rFonts w:ascii="Times New Roman" w:hAnsi="Times New Roman"/>
          <w:caps w:val="false"/>
          <w:smallCaps w:val="false"/>
          <w:sz w:val="20"/>
        </w:rPr>
        <w:t>1</w:t>
      </w:r>
      <w:r>
        <w:rPr>
          <w:rFonts w:ascii="Times New Roman" w:hAnsi="Times New Roman"/>
          <w:caps w:val="false"/>
          <w:smallCaps w:val="false"/>
          <w:sz w:val="20"/>
        </w:rPr>
        <w:t>) securities brokerage accounts, (</w:t>
      </w:r>
      <w:r>
        <w:rPr>
          <w:rStyle w:val="Emphasis"/>
          <w:rFonts w:ascii="Times New Roman" w:hAnsi="Times New Roman"/>
          <w:caps w:val="false"/>
          <w:smallCaps w:val="false"/>
          <w:sz w:val="20"/>
        </w:rPr>
        <w:t>2</w:t>
      </w:r>
      <w:r>
        <w:rPr>
          <w:rFonts w:ascii="Times New Roman" w:hAnsi="Times New Roman"/>
          <w:caps w:val="false"/>
          <w:smallCaps w:val="false"/>
          <w:sz w:val="20"/>
        </w:rPr>
        <w:t>) investment advisor accounts, (</w:t>
      </w:r>
      <w:r>
        <w:rPr>
          <w:rStyle w:val="Emphasis"/>
          <w:rFonts w:ascii="Times New Roman" w:hAnsi="Times New Roman"/>
          <w:caps w:val="false"/>
          <w:smallCaps w:val="false"/>
          <w:sz w:val="20"/>
        </w:rPr>
        <w:t>3</w:t>
      </w:r>
      <w:r>
        <w:rPr>
          <w:rFonts w:ascii="Times New Roman" w:hAnsi="Times New Roman"/>
          <w:caps w:val="false"/>
          <w:smallCaps w:val="false"/>
          <w:sz w:val="20"/>
        </w:rPr>
        <w:t>) full service brokerage implementation fees, and (</w:t>
      </w:r>
      <w:r>
        <w:rPr>
          <w:rStyle w:val="Emphasis"/>
          <w:rFonts w:ascii="Times New Roman" w:hAnsi="Times New Roman"/>
          <w:caps w:val="false"/>
          <w:smallCaps w:val="false"/>
          <w:sz w:val="20"/>
        </w:rPr>
        <w:t>4</w:t>
      </w:r>
      <w:r>
        <w:rPr>
          <w:rFonts w:ascii="Times New Roman" w:hAnsi="Times New Roman"/>
          <w:caps w:val="false"/>
          <w:smallCaps w:val="false"/>
          <w:sz w:val="20"/>
        </w:rPr>
        <w:t>) life insurance and annuity products. We employ financial consultants to provide investment planning services for customers including wealth management services, asset allocation strategies, portfolio analysis and monitoring, investment strategies, and risk management strategies. The commission fees we earn are variable and are generally received monthly. We recognize revenue for the services performed based on actual transaction details received from the broker dealer we engage.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Gain/(loss) on Other Real Estate Owned</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record a gain or loss from the sale of OREO, when control of the property or asset transfers to the buyer, which generally occurs at the time of an executed deed or sales agreement. When we finance the sale of OREO to a buyer, we assess whether the buyer is committed to perform their obligations under the contract and whether collectability of the transaction price is probable. Once these criteria are met, the OREO asset is derecognized and the gain or loss on sale is recorded upon transfer of control of the property to the buyer. In determining the gain or loss on the sale, we adjust the transaction price and related gain or loss on sale if a significant financing component is present. Periodic valuation gains or losses based on the changes in the value of the OREO after repossession are also recorded in (loss)/gain on OREO.</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21</w:t>
      </w:r>
      <w:r>
        <w:rPr>
          <w:rFonts w:ascii="Times New Roman;Times;serif" w:hAnsi="Times New Roman;Times;serif"/>
          <w:b/>
          <w:sz w:val="20"/>
        </w:rPr>
        <w:t xml:space="preserve"> - SEGMENT INFORMATION</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Our reportable segments are determined by the Chief Executive Officer and Chief Financial Officer, who are each designated as a chief operating decision maker ("CODM"), based upon information provided by our products and services offered, primarily banking operations. The segments are also distinguished by the level of information provided to the CODM, who uses such information to review performance of various components of the business, which are aggregated if operating performance, products/services, and customers are similar. The CODM will evaluate the financial performance of our business components such as by evaluating revenue streams, significant expenses, and budget to actual results in assessing our segment and in the determination of allocating resources. The CODM uses consolidated net income, total assets, total loans, and total deposits to benchmark us against our competitors. The benchmarking analysis coupled with monitoring of budget to actual results are used in assessment performance and in establishing compensation. Loans, investments, and deposits provide the revenues in the banking operation. Interest expense, provisions for credit losses and payroll provide the significant expenses in the banking operation. All operations are domestic.</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Segment performance is evaluated using consolidated net income, total assets, total loans, and total deposits. The following table presents information reported internally for performance assessment by the CODM for the dates indicated: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586"/>
        <w:gridCol w:w="60"/>
        <w:gridCol w:w="143"/>
        <w:gridCol w:w="973"/>
        <w:gridCol w:w="60"/>
        <w:gridCol w:w="60"/>
        <w:gridCol w:w="156"/>
        <w:gridCol w:w="1060"/>
        <w:gridCol w:w="80"/>
        <w:gridCol w:w="60"/>
        <w:gridCol w:w="143"/>
        <w:gridCol w:w="973"/>
        <w:gridCol w:w="60"/>
        <w:gridCol w:w="60"/>
        <w:gridCol w:w="159"/>
        <w:gridCol w:w="1084"/>
        <w:gridCol w:w="102"/>
        <w:gridCol w:w="76"/>
        <w:gridCol w:w="159"/>
        <w:gridCol w:w="1084"/>
        <w:gridCol w:w="67"/>
      </w:tblGrid>
      <w:tr>
        <w:trPr/>
        <w:tc>
          <w:tcPr>
            <w:tcW w:w="358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708"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6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Six Months Ended June 30,</w:t>
            </w:r>
          </w:p>
        </w:tc>
        <w:tc>
          <w:tcPr>
            <w:tcW w:w="67" w:type="dxa"/>
            <w:tcBorders/>
            <w:shd w:fill="FFFFFF" w:val="clear"/>
            <w:vAlign w:val="center"/>
          </w:tcPr>
          <w:p>
            <w:pPr>
              <w:pStyle w:val="TableContents"/>
              <w:bidi w:val="0"/>
              <w:spacing w:before="0" w:after="283"/>
              <w:jc w:val="left"/>
              <w:rPr/>
            </w:pPr>
            <w:r>
              <w:rPr/>
              <w:t> </w:t>
            </w:r>
          </w:p>
        </w:tc>
      </w:tr>
      <w:tr>
        <w:trPr/>
        <w:tc>
          <w:tcPr>
            <w:tcW w:w="358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 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4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124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7" w:type="dxa"/>
            <w:tcBorders/>
            <w:shd w:fill="FFFFFF" w:val="clear"/>
            <w:vAlign w:val="center"/>
          </w:tcPr>
          <w:p>
            <w:pPr>
              <w:pStyle w:val="TableContents"/>
              <w:bidi w:val="0"/>
              <w:spacing w:before="0" w:after="283"/>
              <w:jc w:val="left"/>
              <w:rPr/>
            </w:pPr>
            <w:r>
              <w:rPr/>
              <w:t> </w:t>
            </w:r>
          </w:p>
        </w:tc>
      </w:tr>
      <w:tr>
        <w:trPr/>
        <w:tc>
          <w:tcPr>
            <w:tcW w:w="3586"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Banking Segment</w:t>
            </w:r>
          </w:p>
        </w:tc>
        <w:tc>
          <w:tcPr>
            <w:tcW w:w="60" w:type="dxa"/>
            <w:tcBorders/>
            <w:shd w:fill="FFFFFF" w:val="clear"/>
            <w:vAlign w:val="center"/>
          </w:tcPr>
          <w:p>
            <w:pPr>
              <w:pStyle w:val="TableContents"/>
              <w:bidi w:val="0"/>
              <w:spacing w:before="0" w:after="283"/>
              <w:ind w:left="0" w:right="0" w:hanging="0"/>
              <w:jc w:val="left"/>
              <w:rPr/>
            </w:pPr>
            <w:r>
              <w:rPr/>
              <w:t> </w:t>
            </w:r>
          </w:p>
        </w:tc>
        <w:tc>
          <w:tcPr>
            <w:tcW w:w="6492" w:type="dxa"/>
            <w:gridSpan w:val="18"/>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i/>
                <w:caps w:val="false"/>
                <w:smallCaps w:val="false"/>
                <w:sz w:val="20"/>
              </w:rPr>
              <w:t>(dollars in thousands)</w:t>
            </w:r>
          </w:p>
        </w:tc>
        <w:tc>
          <w:tcPr>
            <w:tcW w:w="67" w:type="dxa"/>
            <w:tcBorders/>
            <w:shd w:fill="FFFFFF" w:val="clear"/>
            <w:vAlign w:val="center"/>
          </w:tcPr>
          <w:p>
            <w:pPr>
              <w:pStyle w:val="TableContents"/>
              <w:bidi w:val="0"/>
              <w:spacing w:before="0" w:after="283"/>
              <w:jc w:val="left"/>
              <w:rPr/>
            </w:pPr>
            <w:r>
              <w:rPr/>
              <w:t> </w:t>
            </w:r>
          </w:p>
        </w:tc>
      </w:tr>
      <w:tr>
        <w:trPr/>
        <w:tc>
          <w:tcPr>
            <w:tcW w:w="358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and dividend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57,159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56,803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113,962</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15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106,541</w:t>
            </w:r>
          </w:p>
        </w:tc>
        <w:tc>
          <w:tcPr>
            <w:tcW w:w="67" w:type="dxa"/>
            <w:tcBorders/>
            <w:shd w:fill="CCEEFF" w:val="clear"/>
            <w:vAlign w:val="center"/>
          </w:tcPr>
          <w:p>
            <w:pPr>
              <w:pStyle w:val="TableContents"/>
              <w:bidi w:val="0"/>
              <w:spacing w:before="0" w:after="283"/>
              <w:jc w:val="left"/>
              <w:rPr/>
            </w:pPr>
            <w:r>
              <w:rPr/>
              <w:t> </w:t>
            </w:r>
          </w:p>
        </w:tc>
      </w:tr>
      <w:tr>
        <w:trPr/>
        <w:tc>
          <w:tcPr>
            <w:tcW w:w="358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084"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084"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r>
      <w:tr>
        <w:trPr/>
        <w:tc>
          <w:tcPr>
            <w:tcW w:w="358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Reconciliation of revenue</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084"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084"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r>
      <w:tr>
        <w:trPr/>
        <w:tc>
          <w:tcPr>
            <w:tcW w:w="3586"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revenues</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7,269</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10,773</w:t>
            </w:r>
          </w:p>
        </w:tc>
        <w:tc>
          <w:tcPr>
            <w:tcW w:w="67" w:type="dxa"/>
            <w:tcBorders/>
            <w:shd w:fill="FFFFFF" w:val="clear"/>
            <w:vAlign w:val="center"/>
          </w:tcPr>
          <w:p>
            <w:pPr>
              <w:pStyle w:val="TableContents"/>
              <w:bidi w:val="0"/>
              <w:spacing w:before="0" w:after="283"/>
              <w:jc w:val="left"/>
              <w:rPr/>
            </w:pPr>
            <w:r>
              <w:rPr/>
              <w:t> </w:t>
            </w:r>
          </w:p>
        </w:tc>
      </w:tr>
      <w:tr>
        <w:trPr/>
        <w:tc>
          <w:tcPr>
            <w:tcW w:w="3586"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consolidated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60,177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61,054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62,683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121,231</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117,314</w:t>
            </w:r>
          </w:p>
        </w:tc>
        <w:tc>
          <w:tcPr>
            <w:tcW w:w="67" w:type="dxa"/>
            <w:tcBorders/>
            <w:shd w:fill="CCEEFF" w:val="clear"/>
            <w:vAlign w:val="center"/>
          </w:tcPr>
          <w:p>
            <w:pPr>
              <w:pStyle w:val="TableContents"/>
              <w:bidi w:val="0"/>
              <w:spacing w:before="0" w:after="283"/>
              <w:jc w:val="left"/>
              <w:rPr/>
            </w:pPr>
            <w:r>
              <w:rPr/>
              <w:t> </w:t>
            </w:r>
          </w:p>
        </w:tc>
      </w:tr>
      <w:tr>
        <w:trPr/>
        <w:tc>
          <w:tcPr>
            <w:tcW w:w="358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084"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084"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r>
      <w:tr>
        <w:trPr/>
        <w:tc>
          <w:tcPr>
            <w:tcW w:w="358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084"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084"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r>
      <w:tr>
        <w:trPr/>
        <w:tc>
          <w:tcPr>
            <w:tcW w:w="3586"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53,373</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53,044</w:t>
            </w:r>
          </w:p>
        </w:tc>
        <w:tc>
          <w:tcPr>
            <w:tcW w:w="67" w:type="dxa"/>
            <w:tcBorders/>
            <w:shd w:fill="FFFFFF" w:val="clear"/>
            <w:vAlign w:val="center"/>
          </w:tcPr>
          <w:p>
            <w:pPr>
              <w:pStyle w:val="TableContents"/>
              <w:bidi w:val="0"/>
              <w:spacing w:before="0" w:after="283"/>
              <w:jc w:val="left"/>
              <w:rPr/>
            </w:pPr>
            <w:r>
              <w:rPr/>
              <w:t> </w:t>
            </w:r>
          </w:p>
        </w:tc>
      </w:tr>
      <w:tr>
        <w:trPr/>
        <w:tc>
          <w:tcPr>
            <w:tcW w:w="3586"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net interest income and noninterest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33,104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67,858</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64,270</w:t>
            </w:r>
          </w:p>
        </w:tc>
        <w:tc>
          <w:tcPr>
            <w:tcW w:w="67" w:type="dxa"/>
            <w:tcBorders/>
            <w:shd w:fill="CCEEFF" w:val="clear"/>
            <w:vAlign w:val="center"/>
          </w:tcPr>
          <w:p>
            <w:pPr>
              <w:pStyle w:val="TableContents"/>
              <w:bidi w:val="0"/>
              <w:spacing w:before="0" w:after="283"/>
              <w:jc w:val="left"/>
              <w:rPr/>
            </w:pPr>
            <w:r>
              <w:rPr/>
              <w:t> </w:t>
            </w:r>
          </w:p>
        </w:tc>
      </w:tr>
      <w:tr>
        <w:trPr/>
        <w:tc>
          <w:tcPr>
            <w:tcW w:w="358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084"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084"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r>
      <w:tr>
        <w:trPr/>
        <w:tc>
          <w:tcPr>
            <w:tcW w:w="3586"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(Reversal of)/provision for credit losses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97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10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9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10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w:t>
            </w:r>
          </w:p>
        </w:tc>
        <w:tc>
          <w:tcPr>
            <w:tcW w:w="10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10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9,133</w:t>
            </w:r>
          </w:p>
        </w:tc>
        <w:tc>
          <w:tcPr>
            <w:tcW w:w="67" w:type="dxa"/>
            <w:tcBorders/>
            <w:shd w:fill="CCEEFF" w:val="clear"/>
            <w:vAlign w:val="center"/>
          </w:tcPr>
          <w:p>
            <w:pPr>
              <w:pStyle w:val="TableContents"/>
              <w:bidi w:val="0"/>
              <w:spacing w:before="0" w:after="283"/>
              <w:jc w:val="left"/>
              <w:rPr/>
            </w:pPr>
            <w:r>
              <w:rPr/>
              <w:t> </w:t>
            </w:r>
          </w:p>
        </w:tc>
      </w:tr>
      <w:tr>
        <w:trPr/>
        <w:tc>
          <w:tcPr>
            <w:tcW w:w="3586"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Salaries and benefits expense</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9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10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9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10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22,306</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10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21,723</w:t>
            </w:r>
          </w:p>
        </w:tc>
        <w:tc>
          <w:tcPr>
            <w:tcW w:w="67" w:type="dxa"/>
            <w:tcBorders/>
            <w:shd w:fill="FFFFFF" w:val="clear"/>
            <w:vAlign w:val="center"/>
          </w:tcPr>
          <w:p>
            <w:pPr>
              <w:pStyle w:val="TableContents"/>
              <w:bidi w:val="0"/>
              <w:spacing w:before="0" w:after="283"/>
              <w:jc w:val="left"/>
              <w:rPr/>
            </w:pPr>
            <w:r>
              <w:rPr/>
              <w:t> </w:t>
            </w:r>
          </w:p>
        </w:tc>
      </w:tr>
      <w:tr>
        <w:trPr/>
        <w:tc>
          <w:tcPr>
            <w:tcW w:w="3586" w:type="dxa"/>
            <w:tcBorders/>
            <w:shd w:fill="CCEEFF" w:val="clear"/>
            <w:vAlign w:val="center"/>
          </w:tcPr>
          <w:p>
            <w:pPr>
              <w:pStyle w:val="TableContents"/>
              <w:bidi w:val="0"/>
              <w:spacing w:lineRule="auto" w:line="288"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segment items (1)</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9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10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9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10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15,974</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10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17,292</w:t>
            </w:r>
          </w:p>
        </w:tc>
        <w:tc>
          <w:tcPr>
            <w:tcW w:w="67" w:type="dxa"/>
            <w:tcBorders/>
            <w:shd w:fill="CCEEFF" w:val="clear"/>
            <w:vAlign w:val="center"/>
          </w:tcPr>
          <w:p>
            <w:pPr>
              <w:pStyle w:val="TableContents"/>
              <w:bidi w:val="0"/>
              <w:spacing w:before="0" w:after="283"/>
              <w:jc w:val="left"/>
              <w:rPr/>
            </w:pPr>
            <w:r>
              <w:rPr/>
              <w:t> </w:t>
            </w:r>
          </w:p>
        </w:tc>
      </w:tr>
      <w:tr>
        <w:trPr/>
        <w:tc>
          <w:tcPr>
            <w:tcW w:w="3586"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8,338</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4,499</w:t>
            </w:r>
          </w:p>
        </w:tc>
        <w:tc>
          <w:tcPr>
            <w:tcW w:w="67" w:type="dxa"/>
            <w:tcBorders/>
            <w:shd w:fill="FFFFFF" w:val="clear"/>
            <w:vAlign w:val="center"/>
          </w:tcPr>
          <w:p>
            <w:pPr>
              <w:pStyle w:val="TableContents"/>
              <w:bidi w:val="0"/>
              <w:spacing w:before="0" w:after="283"/>
              <w:jc w:val="left"/>
              <w:rPr/>
            </w:pPr>
            <w:r>
              <w:rPr/>
              <w:t> </w:t>
            </w:r>
          </w:p>
        </w:tc>
      </w:tr>
      <w:tr>
        <w:trPr/>
        <w:tc>
          <w:tcPr>
            <w:tcW w:w="3586"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21,440</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11,623</w:t>
            </w:r>
          </w:p>
        </w:tc>
        <w:tc>
          <w:tcPr>
            <w:tcW w:w="67" w:type="dxa"/>
            <w:tcBorders/>
            <w:shd w:fill="CCEEFF" w:val="clear"/>
            <w:vAlign w:val="center"/>
          </w:tcPr>
          <w:p>
            <w:pPr>
              <w:pStyle w:val="TableContents"/>
              <w:bidi w:val="0"/>
              <w:spacing w:before="0" w:after="283"/>
              <w:jc w:val="left"/>
              <w:rPr/>
            </w:pPr>
            <w:r>
              <w:rPr/>
              <w:t> </w:t>
            </w:r>
          </w:p>
        </w:tc>
      </w:tr>
      <w:tr>
        <w:trPr/>
        <w:tc>
          <w:tcPr>
            <w:tcW w:w="358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084"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084"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r>
      <w:tr>
        <w:trPr/>
        <w:tc>
          <w:tcPr>
            <w:tcW w:w="358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4,275,002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4,194,312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4,090,040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4,275,002</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15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4,090,040</w:t>
            </w:r>
          </w:p>
        </w:tc>
        <w:tc>
          <w:tcPr>
            <w:tcW w:w="67" w:type="dxa"/>
            <w:tcBorders/>
            <w:shd w:fill="CCEEFF" w:val="clear"/>
            <w:vAlign w:val="center"/>
          </w:tcPr>
          <w:p>
            <w:pPr>
              <w:pStyle w:val="TableContents"/>
              <w:bidi w:val="0"/>
              <w:spacing w:before="0" w:after="283"/>
              <w:jc w:val="left"/>
              <w:rPr/>
            </w:pPr>
            <w:r>
              <w:rPr/>
              <w:t> </w:t>
            </w:r>
          </w:p>
        </w:tc>
      </w:tr>
      <w:tr>
        <w:trPr/>
        <w:tc>
          <w:tcPr>
            <w:tcW w:w="358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Loans</w:t>
            </w:r>
          </w:p>
        </w:tc>
        <w:tc>
          <w:tcPr>
            <w:tcW w:w="60" w:type="dxa"/>
            <w:tcBorders/>
            <w:shd w:fill="FFFFFF" w:val="clear"/>
            <w:vAlign w:val="center"/>
          </w:tcPr>
          <w:p>
            <w:pPr>
              <w:pStyle w:val="TableContents"/>
              <w:bidi w:val="0"/>
              <w:spacing w:before="0" w:after="283"/>
              <w:ind w:left="0" w:right="0" w:hanging="0"/>
              <w:jc w:val="left"/>
              <w:rPr/>
            </w:pPr>
            <w:r>
              <w:rPr/>
              <w:t> </w:t>
            </w:r>
          </w:p>
        </w:tc>
        <w:tc>
          <w:tcPr>
            <w:tcW w:w="14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3,309,459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3,325,232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3,234,695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3,309,459</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15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3,234,695</w:t>
            </w:r>
          </w:p>
        </w:tc>
        <w:tc>
          <w:tcPr>
            <w:tcW w:w="67" w:type="dxa"/>
            <w:tcBorders/>
            <w:shd w:fill="FFFFFF" w:val="clear"/>
            <w:vAlign w:val="center"/>
          </w:tcPr>
          <w:p>
            <w:pPr>
              <w:pStyle w:val="TableContents"/>
              <w:bidi w:val="0"/>
              <w:spacing w:before="0" w:after="283"/>
              <w:jc w:val="left"/>
              <w:rPr/>
            </w:pPr>
            <w:r>
              <w:rPr/>
              <w:t> </w:t>
            </w:r>
          </w:p>
        </w:tc>
      </w:tr>
      <w:tr>
        <w:trPr/>
        <w:tc>
          <w:tcPr>
            <w:tcW w:w="358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Deposits</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3,390,641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3,339,884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3,188,231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3,390,641</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15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3,188,231</w:t>
            </w:r>
          </w:p>
        </w:tc>
        <w:tc>
          <w:tcPr>
            <w:tcW w:w="6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60" w:right="0" w:hanging="180"/>
        <w:jc w:val="left"/>
        <w:rPr>
          <w:caps w:val="false"/>
          <w:smallCaps w:val="false"/>
        </w:rPr>
      </w:pPr>
      <w:r>
        <w:rPr>
          <w:caps w:val="false"/>
          <w:smallCaps w:val="false"/>
        </w:rPr>
        <w:t> </w:t>
      </w:r>
    </w:p>
    <w:p>
      <w:pPr>
        <w:pStyle w:val="TextBody"/>
        <w:bidi w:val="0"/>
        <w:spacing w:before="0" w:after="0"/>
        <w:ind w:left="160" w:right="0" w:hanging="180"/>
        <w:jc w:val="left"/>
        <w:rPr/>
      </w:pPr>
      <w:r>
        <w:rPr>
          <w:rFonts w:ascii="Times New Roman" w:hAnsi="Times New Roman"/>
          <w:caps w:val="false"/>
          <w:smallCaps w:val="false"/>
          <w:sz w:val="18"/>
        </w:rPr>
        <w:t>(</w:t>
      </w:r>
      <w:r>
        <w:rPr>
          <w:rStyle w:val="Emphasis"/>
          <w:rFonts w:ascii="Times New Roman" w:hAnsi="Times New Roman"/>
          <w:caps w:val="false"/>
          <w:smallCaps w:val="false"/>
          <w:sz w:val="18"/>
        </w:rPr>
        <w:t>1</w:t>
      </w:r>
      <w:r>
        <w:rPr>
          <w:rFonts w:ascii="Times New Roman" w:hAnsi="Times New Roman"/>
          <w:caps w:val="false"/>
          <w:smallCaps w:val="false"/>
          <w:sz w:val="18"/>
        </w:rPr>
        <w:t>)</w:t>
      </w:r>
      <w:r>
        <w:rPr>
          <w:rFonts w:ascii="Times New Roman" w:hAnsi="Times New Roman"/>
          <w:caps w:val="false"/>
          <w:smallCaps w:val="false"/>
          <w:sz w:val="20"/>
        </w:rPr>
        <w:t xml:space="preserve"> </w:t>
      </w:r>
      <w:r>
        <w:rPr>
          <w:rFonts w:ascii="Times New Roman" w:hAnsi="Times New Roman"/>
          <w:caps w:val="false"/>
          <w:smallCaps w:val="false"/>
          <w:sz w:val="18"/>
        </w:rPr>
        <w:t>Other segment items include expenses for occupancy and equipment, data processing, legal and professional, office, marketing and business promotion, insurance and regulatory assessments, core deposit premium amortization and other expenses.</w:t>
      </w:r>
    </w:p>
    <w:p>
      <w:pPr>
        <w:pStyle w:val="TextBody"/>
        <w:bidi w:val="0"/>
        <w:spacing w:before="0" w:after="0"/>
        <w:ind w:left="160" w:right="0" w:hanging="18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30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sz w:val="20"/>
        </w:rPr>
        <w:t xml:space="preserve">NOTE </w:t>
      </w:r>
      <w:r>
        <w:rPr>
          <w:rStyle w:val="Emphasis"/>
          <w:rFonts w:ascii="Times New Roman" w:hAnsi="Times New Roman"/>
          <w:b/>
          <w:caps/>
          <w:sz w:val="20"/>
        </w:rPr>
        <w:t>22</w:t>
      </w:r>
      <w:r>
        <w:rPr>
          <w:rFonts w:ascii="Times New Roman" w:hAnsi="Times New Roman"/>
          <w:b/>
          <w:caps/>
          <w:sz w:val="20"/>
        </w:rPr>
        <w:t> - Repurchase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May 29,</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Board of Directors authorized the repurchase of up to $18.0 million of common stock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Repurchase Plan") through </w:t>
      </w:r>
      <w:r>
        <w:rPr>
          <w:rStyle w:val="Emphasis"/>
          <w:rFonts w:ascii="Times New Roman" w:hAnsi="Times New Roman"/>
          <w:caps w:val="false"/>
          <w:smallCaps w:val="false"/>
          <w:sz w:val="20"/>
        </w:rPr>
        <w:t>June 30, 2026. </w:t>
      </w: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 Company repurchased 163,500 shares of common stock under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Repurchase Plan. These repurchases effectively exhausted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Repurchase Plan which expired on </w:t>
      </w:r>
      <w:r>
        <w:rPr>
          <w:rStyle w:val="Emphasis"/>
          <w:rFonts w:ascii="Times New Roman" w:hAnsi="Times New Roman"/>
          <w:caps w:val="false"/>
          <w:smallCaps w:val="false"/>
          <w:sz w:val="20"/>
        </w:rPr>
        <w:t>June 30, 2026.</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15, 2026, </w:t>
      </w:r>
      <w:r>
        <w:rPr>
          <w:rFonts w:ascii="Times New Roman" w:hAnsi="Times New Roman"/>
          <w:caps w:val="false"/>
          <w:smallCaps w:val="false"/>
          <w:sz w:val="20"/>
        </w:rPr>
        <w:t xml:space="preserve">the Board of Directors authorized the repurchase of up to 1 million shares of the Company's outstanding common stock (the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Repurchase Plan") through </w:t>
      </w:r>
      <w:r>
        <w:rPr>
          <w:rStyle w:val="Emphasis"/>
          <w:rFonts w:ascii="Times New Roman" w:hAnsi="Times New Roman"/>
          <w:caps w:val="false"/>
          <w:smallCaps w:val="false"/>
          <w:sz w:val="20"/>
        </w:rPr>
        <w:t xml:space="preserve">June 30, 2028. </w:t>
      </w: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 Company repurchased 17,076 shares of common stock under the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Repurchase Plan. The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Repurchase Plan has 982,924 shares available for repurchase as of </w:t>
      </w:r>
      <w:r>
        <w:rPr>
          <w:rStyle w:val="Emphasis"/>
          <w:rFonts w:ascii="Times New Roman" w:hAnsi="Times New Roman"/>
          <w:caps w:val="false"/>
          <w:smallCaps w:val="false"/>
          <w:sz w:val="20"/>
        </w:rPr>
        <w:t xml:space="preserve"> June 30, 2026.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The Company repurchased 180,576 shares at a weighted average share price o</w:t>
      </w:r>
      <w:r>
        <w:rPr>
          <w:rFonts w:ascii="Times New Roman" w:hAnsi="Times New Roman"/>
          <w:caps w:val="false"/>
          <w:smallCaps w:val="false"/>
          <w:sz w:val="20"/>
          <w:shd w:fill="FFFFFF" w:val="clear"/>
        </w:rPr>
        <w:t>f $24.65 d</w:t>
      </w:r>
      <w:r>
        <w:rPr>
          <w:rFonts w:ascii="Times New Roman" w:hAnsi="Times New Roman"/>
          <w:caps w:val="false"/>
          <w:smallCaps w:val="false"/>
          <w:sz w:val="20"/>
        </w:rPr>
        <w:t xml:space="preserve">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under both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Repurchase Plan and the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Repurchase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23</w:t>
      </w:r>
      <w:r>
        <w:rPr>
          <w:rFonts w:ascii="Times New Roman" w:hAnsi="Times New Roman"/>
          <w:b/>
          <w:caps w:val="false"/>
          <w:smallCaps w:val="false"/>
          <w:sz w:val="20"/>
        </w:rPr>
        <w:t> -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July 1, 2026, </w:t>
      </w:r>
      <w:r>
        <w:rPr>
          <w:rFonts w:ascii="Times New Roman" w:hAnsi="Times New Roman"/>
          <w:caps w:val="false"/>
          <w:smallCaps w:val="false"/>
          <w:sz w:val="20"/>
        </w:rPr>
        <w:t xml:space="preserve">the Company redeemed $40.0 million in aggregate principal amount of its outstanding 4.00% Fixed-to-Floating Rate Subordinated Notes due </w:t>
      </w:r>
      <w:r>
        <w:rPr>
          <w:rStyle w:val="Emphasis"/>
          <w:rFonts w:ascii="Times New Roman" w:hAnsi="Times New Roman"/>
          <w:caps w:val="false"/>
          <w:smallCaps w:val="false"/>
          <w:sz w:val="20"/>
        </w:rPr>
        <w:t>2031,</w:t>
      </w:r>
      <w:r>
        <w:rPr>
          <w:rFonts w:ascii="Times New Roman" w:hAnsi="Times New Roman"/>
          <w:caps w:val="false"/>
          <w:smallCaps w:val="false"/>
          <w:sz w:val="20"/>
        </w:rPr>
        <w:t xml:space="preserve"> originally issued on </w:t>
      </w:r>
      <w:r>
        <w:rPr>
          <w:rStyle w:val="Emphasis"/>
          <w:rFonts w:ascii="Times New Roman" w:hAnsi="Times New Roman"/>
          <w:caps w:val="false"/>
          <w:smallCaps w:val="false"/>
          <w:sz w:val="20"/>
        </w:rPr>
        <w:t>March 26, 2021 (</w:t>
      </w:r>
      <w:r>
        <w:rPr>
          <w:rFonts w:ascii="Times New Roman" w:hAnsi="Times New Roman"/>
          <w:caps w:val="false"/>
          <w:smallCaps w:val="false"/>
          <w:sz w:val="20"/>
        </w:rPr>
        <w:t xml:space="preserve">the "Notes"). On </w:t>
      </w:r>
      <w:r>
        <w:rPr>
          <w:rStyle w:val="Emphasis"/>
          <w:rFonts w:ascii="Times New Roman" w:hAnsi="Times New Roman"/>
          <w:caps w:val="false"/>
          <w:smallCaps w:val="false"/>
          <w:sz w:val="20"/>
        </w:rPr>
        <w:t xml:space="preserve">April 1, 2026, </w:t>
      </w:r>
      <w:r>
        <w:rPr>
          <w:rFonts w:ascii="Times New Roman" w:hAnsi="Times New Roman"/>
          <w:caps w:val="false"/>
          <w:smallCaps w:val="false"/>
          <w:sz w:val="20"/>
        </w:rPr>
        <w:t xml:space="preserve">the Notes became redeemable at par and the fixed interest rate of 4.00% on the Notes reset to a floating rate equal to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-month SOFR plus a spread of 329 basis points, which equaled 6.98% on that date. The Notes were redeemed at a cash redemption price equal to </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of the principal amount of the Notes being redeemed, plus accrued and unpaid interest thereon through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or approximately $40.7 million in aggregate. Upon completion of this $40.0 million redemption, $80.0 million aggregate principal amount of the Notes remain outstanding and the interest rate reset on </w:t>
      </w:r>
      <w:r>
        <w:rPr>
          <w:rStyle w:val="Emphasis"/>
          <w:rFonts w:ascii="Times New Roman" w:hAnsi="Times New Roman"/>
          <w:caps w:val="false"/>
          <w:smallCaps w:val="false"/>
          <w:sz w:val="20"/>
        </w:rPr>
        <w:t xml:space="preserve">July 1, 2026 </w:t>
      </w:r>
      <w:r>
        <w:rPr>
          <w:rFonts w:ascii="Times New Roman" w:hAnsi="Times New Roman"/>
          <w:caps w:val="false"/>
          <w:smallCaps w:val="false"/>
          <w:sz w:val="20"/>
        </w:rPr>
        <w:t>to 7.02%.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July</w:t>
      </w:r>
      <w:r>
        <w:rPr>
          <w:rFonts w:ascii="Times New Roman" w:hAnsi="Times New Roman"/>
          <w:caps w:val="false"/>
          <w:smallCaps w:val="false"/>
          <w:sz w:val="20"/>
          <w:shd w:fill="FFFFFF" w:val="clear"/>
        </w:rPr>
        <w:t> </w:t>
      </w:r>
      <w:r>
        <w:rPr>
          <w:rStyle w:val="Emphasis"/>
          <w:rFonts w:ascii="Times New Roman" w:hAnsi="Times New Roman"/>
          <w:caps w:val="false"/>
          <w:smallCaps w:val="false"/>
          <w:sz w:val="20"/>
          <w:shd w:fill="FFFFFF" w:val="clear"/>
        </w:rPr>
        <w:t>20,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we announced the Board of Directors had declared a common stock cash dividend of</w:t>
      </w:r>
      <w:r>
        <w:rPr>
          <w:rFonts w:ascii="Times New Roman" w:hAnsi="Times New Roman"/>
          <w:caps w:val="false"/>
          <w:smallCaps w:val="false"/>
          <w:sz w:val="20"/>
          <w:shd w:fill="FFFFFF" w:val="clear"/>
        </w:rPr>
        <w:t xml:space="preserve"> $0.16 per </w:t>
      </w:r>
      <w:r>
        <w:rPr>
          <w:rFonts w:ascii="Times New Roman" w:hAnsi="Times New Roman"/>
          <w:caps w:val="false"/>
          <w:smallCaps w:val="false"/>
          <w:sz w:val="20"/>
        </w:rPr>
        <w:t xml:space="preserve">share, payable on </w:t>
      </w:r>
      <w:r>
        <w:rPr>
          <w:rStyle w:val="Emphasis"/>
          <w:rFonts w:ascii="Times New Roman" w:hAnsi="Times New Roman"/>
          <w:caps w:val="false"/>
          <w:smallCaps w:val="false"/>
          <w:sz w:val="20"/>
        </w:rPr>
        <w:t>August</w:t>
      </w:r>
      <w:r>
        <w:rPr>
          <w:rFonts w:ascii="Times New Roman" w:hAnsi="Times New Roman"/>
          <w:caps w:val="false"/>
          <w:smallCaps w:val="false"/>
          <w:sz w:val="20"/>
          <w:shd w:fill="FFFFFF" w:val="clear"/>
        </w:rPr>
        <w:t> </w:t>
      </w:r>
      <w:r>
        <w:rPr>
          <w:rStyle w:val="Emphasis"/>
          <w:rFonts w:ascii="Times New Roman" w:hAnsi="Times New Roman"/>
          <w:caps w:val="false"/>
          <w:smallCaps w:val="false"/>
          <w:sz w:val="20"/>
          <w:shd w:fill="FFFFFF" w:val="clear"/>
        </w:rPr>
        <w:t>11,</w:t>
      </w:r>
      <w:r>
        <w:rPr>
          <w:rFonts w:ascii="Times New Roman" w:hAnsi="Times New Roman"/>
          <w:caps w:val="false"/>
          <w:smallCaps w:val="false"/>
          <w:sz w:val="20"/>
          <w:shd w:fill="FFFFFF" w:val="clear"/>
        </w:rPr>
        <w:t xml:space="preserve"> </w:t>
      </w:r>
      <w:r>
        <w:rPr>
          <w:rStyle w:val="Emphasis"/>
          <w:rFonts w:ascii="Times New Roman" w:hAnsi="Times New Roman"/>
          <w:caps w:val="false"/>
          <w:smallCaps w:val="false"/>
          <w:sz w:val="20"/>
          <w:shd w:fill="FFFFFF" w:val="clear"/>
        </w:rPr>
        <w:t>20</w:t>
      </w:r>
      <w:r>
        <w:rPr>
          <w:rStyle w:val="Emphasis"/>
          <w:rFonts w:ascii="Times New Roman" w:hAnsi="Times New Roman"/>
          <w:caps w:val="false"/>
          <w:smallCaps w:val="false"/>
          <w:sz w:val="20"/>
        </w:rPr>
        <w:t>26</w:t>
      </w:r>
      <w:r>
        <w:rPr>
          <w:rFonts w:ascii="Times New Roman" w:hAnsi="Times New Roman"/>
          <w:caps w:val="false"/>
          <w:smallCaps w:val="false"/>
          <w:sz w:val="20"/>
        </w:rPr>
        <w:t xml:space="preserve"> to common shareholders of record as of </w:t>
      </w:r>
      <w:r>
        <w:rPr>
          <w:rStyle w:val="Emphasis"/>
          <w:rFonts w:ascii="Times New Roman" w:hAnsi="Times New Roman"/>
          <w:caps w:val="false"/>
          <w:smallCaps w:val="false"/>
          <w:sz w:val="20"/>
        </w:rPr>
        <w:t>July</w:t>
      </w:r>
      <w:r>
        <w:rPr>
          <w:rFonts w:ascii="Times New Roman" w:hAnsi="Times New Roman"/>
          <w:caps w:val="false"/>
          <w:smallCaps w:val="false"/>
          <w:sz w:val="20"/>
          <w:shd w:fill="FFFFFF" w:val="clear"/>
        </w:rPr>
        <w:t> </w:t>
      </w:r>
      <w:r>
        <w:rPr>
          <w:rStyle w:val="Emphasis"/>
          <w:rFonts w:ascii="Times New Roman" w:hAnsi="Times New Roman"/>
          <w:caps w:val="false"/>
          <w:smallCaps w:val="false"/>
          <w:sz w:val="20"/>
          <w:shd w:fill="FFFFFF" w:val="clear"/>
        </w:rPr>
        <w:t>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2026.</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729"/>
        <w:gridCol w:w="9476"/>
      </w:tblGrid>
      <w:tr>
        <w:trPr/>
        <w:tc>
          <w:tcPr>
            <w:tcW w:w="729"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bookmarkStart w:id="6" w:name="Item2_MDA"/>
            <w:bookmarkEnd w:id="6"/>
            <w:r>
              <w:rPr>
                <w:rFonts w:ascii="Times New Roman" w:hAnsi="Times New Roman"/>
                <w:b/>
                <w:caps w:val="false"/>
                <w:smallCaps w:val="false"/>
                <w:sz w:val="20"/>
              </w:rPr>
              <w:t>ITEM 2.</w:t>
            </w:r>
          </w:p>
        </w:tc>
        <w:tc>
          <w:tcPr>
            <w:tcW w:w="947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this Quarterly Report on Form 10-Q (this “Report” or “Form 10-Q”), the terms “Bancorp” and “RBB” refer to RBB Bancorp and the term “Bank” refers to Royal Business Bank. The terms “Company,” “we,” “us,” and “our” refer to Bancorp and its consolidated subsidiaries, including the Bank collectively. When we refer to the “parent company,” “Bancorp,” or the “holding company,” we are referring to RBB Bancorp, the parent company, on a stand-alone basis. This Report contains forward-looking statements. These forward-looking statements reflect our current views with respect to, among other things, future events and our results of operations, financial condition and financial performance. These statements are often, but not always, made through the use of words or phrases such as “may,” “should,” “could,” “predict,” “potential,” “believe,” “will likely result,” “expect,” “continue,” “will,” “anticipate,” “seek,” “estimate,” “intend,” “plan,” “projection,” “would” and “outlook,” or the negative version of those words or other comparable words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following factors, among others, could cause our financial performance to differ materially from that expressed in such forward-looking statements:</w:t>
      </w:r>
    </w:p>
    <w:p>
      <w:pPr>
        <w:pStyle w:val="TextBody"/>
        <w:bidi w:val="0"/>
        <w:spacing w:before="0" w:after="0"/>
        <w:ind w:left="0" w:right="0" w:firstLine="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lineRule="auto" w:line="240" w:before="0" w:after="283"/>
              <w:jc w:val="left"/>
              <w:rPr/>
            </w:pPr>
            <w:r>
              <w:rPr/>
              <w:t> </w:t>
            </w:r>
          </w:p>
        </w:tc>
        <w:tc>
          <w:tcPr>
            <w:tcW w:w="170" w:type="dxa"/>
            <w:tcBorders/>
            <w:vAlign w:val="center"/>
          </w:tcPr>
          <w:p>
            <w:pPr>
              <w:pStyle w:val="TableContents"/>
              <w:bidi w:val="0"/>
              <w:spacing w:lineRule="auto" w:line="240"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business and economic conditions generally and in the financial services industry, nationally and within our current and future geographic markets, including the tight labor market, ineffective management of the United States (“U.S.”) federal budget or debt or turbulence or uncertainty in domestic or foreign financial markets; </w:t>
            </w:r>
          </w:p>
        </w:tc>
      </w:tr>
    </w:tbl>
    <w:tbl>
      <w:tblPr>
        <w:tblW w:w="9685" w:type="dxa"/>
        <w:jc w:val="left"/>
        <w:tblInd w:w="0" w:type="dxa"/>
        <w:tblLayout w:type="fixed"/>
        <w:tblCellMar>
          <w:top w:w="0" w:type="dxa"/>
          <w:left w:w="0" w:type="dxa"/>
          <w:bottom w:w="0" w:type="dxa"/>
          <w:right w:w="0" w:type="dxa"/>
        </w:tblCellMar>
      </w:tblPr>
      <w:tblGrid>
        <w:gridCol w:w="75"/>
        <w:gridCol w:w="170"/>
        <w:gridCol w:w="9440"/>
      </w:tblGrid>
      <w:tr>
        <w:trPr/>
        <w:tc>
          <w:tcPr>
            <w:tcW w:w="75" w:type="dxa"/>
            <w:tcBorders/>
            <w:vAlign w:val="center"/>
          </w:tcPr>
          <w:p>
            <w:pPr>
              <w:pStyle w:val="TableContents"/>
              <w:bidi w:val="0"/>
              <w:spacing w:lineRule="auto" w:line="240" w:before="0" w:after="283"/>
              <w:jc w:val="left"/>
              <w:rPr/>
            </w:pPr>
            <w:r>
              <w:rPr/>
              <w:t> </w:t>
            </w:r>
          </w:p>
        </w:tc>
        <w:tc>
          <w:tcPr>
            <w:tcW w:w="170" w:type="dxa"/>
            <w:tcBorders/>
            <w:vAlign w:val="center"/>
          </w:tcPr>
          <w:p>
            <w:pPr>
              <w:pStyle w:val="TableContents"/>
              <w:bidi w:val="0"/>
              <w:spacing w:lineRule="auto" w:line="240" w:before="0" w:after="0"/>
              <w:ind w:left="0" w:right="0" w:hanging="0"/>
              <w:jc w:val="left"/>
              <w:rPr>
                <w:caps w:val="false"/>
                <w:smallCaps w:val="false"/>
              </w:rPr>
            </w:pPr>
            <w:r>
              <w:rPr>
                <w:caps w:val="false"/>
                <w:smallCaps w:val="false"/>
              </w:rPr>
              <w:t>●</w:t>
            </w:r>
          </w:p>
        </w:tc>
        <w:tc>
          <w:tcPr>
            <w:tcW w:w="9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strength of the U.S. economy in general and the strength of the local economies in which we conduct operations;</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lineRule="auto" w:line="240" w:before="0" w:after="283"/>
              <w:jc w:val="left"/>
              <w:rPr/>
            </w:pPr>
            <w:r>
              <w:rPr/>
              <w:t> </w:t>
            </w:r>
          </w:p>
        </w:tc>
        <w:tc>
          <w:tcPr>
            <w:tcW w:w="170" w:type="dxa"/>
            <w:tcBorders/>
            <w:vAlign w:val="center"/>
          </w:tcPr>
          <w:p>
            <w:pPr>
              <w:pStyle w:val="TableContents"/>
              <w:bidi w:val="0"/>
              <w:spacing w:lineRule="auto" w:line="240"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adverse developments in the banking industry highlighted by high-profile bank failures and the potential impact of such developments on customer confidence, liquidity and regulatory responses to these developments;</w:t>
            </w:r>
          </w:p>
        </w:tc>
      </w:tr>
      <w:tr>
        <w:trPr/>
        <w:tc>
          <w:tcPr>
            <w:tcW w:w="75" w:type="dxa"/>
            <w:tcBorders/>
            <w:vAlign w:val="center"/>
          </w:tcPr>
          <w:p>
            <w:pPr>
              <w:pStyle w:val="TableContents"/>
              <w:bidi w:val="0"/>
              <w:spacing w:lineRule="auto" w:line="240"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federal government shutdowns and uncertainty regarding the federal government's debt limit;</w:t>
            </w:r>
          </w:p>
        </w:tc>
      </w:tr>
    </w:tbl>
    <w:tbl>
      <w:tblPr>
        <w:tblW w:w="5395" w:type="dxa"/>
        <w:jc w:val="left"/>
        <w:tblInd w:w="0" w:type="dxa"/>
        <w:tblLayout w:type="fixed"/>
        <w:tblCellMar>
          <w:top w:w="0" w:type="dxa"/>
          <w:left w:w="0" w:type="dxa"/>
          <w:bottom w:w="0" w:type="dxa"/>
          <w:right w:w="0" w:type="dxa"/>
        </w:tblCellMar>
      </w:tblPr>
      <w:tblGrid>
        <w:gridCol w:w="75"/>
        <w:gridCol w:w="170"/>
        <w:gridCol w:w="5150"/>
      </w:tblGrid>
      <w:tr>
        <w:trPr/>
        <w:tc>
          <w:tcPr>
            <w:tcW w:w="75" w:type="dxa"/>
            <w:tcBorders/>
            <w:vAlign w:val="center"/>
          </w:tcPr>
          <w:p>
            <w:pPr>
              <w:pStyle w:val="TableContents"/>
              <w:bidi w:val="0"/>
              <w:spacing w:lineRule="auto" w:line="240" w:before="0" w:after="283"/>
              <w:jc w:val="left"/>
              <w:rPr/>
            </w:pPr>
            <w:r>
              <w:rPr/>
              <w:t> </w:t>
            </w:r>
          </w:p>
        </w:tc>
        <w:tc>
          <w:tcPr>
            <w:tcW w:w="170" w:type="dxa"/>
            <w:tcBorders/>
            <w:vAlign w:val="center"/>
          </w:tcPr>
          <w:p>
            <w:pPr>
              <w:pStyle w:val="TableContents"/>
              <w:bidi w:val="0"/>
              <w:spacing w:lineRule="auto" w:line="240" w:before="0" w:after="0"/>
              <w:ind w:left="0" w:right="0" w:hanging="0"/>
              <w:jc w:val="left"/>
              <w:rPr>
                <w:caps w:val="false"/>
                <w:smallCaps w:val="false"/>
              </w:rPr>
            </w:pPr>
            <w:r>
              <w:rPr>
                <w:caps w:val="false"/>
                <w:smallCaps w:val="false"/>
              </w:rPr>
              <w:t>●</w:t>
            </w:r>
          </w:p>
        </w:tc>
        <w:tc>
          <w:tcPr>
            <w:tcW w:w="51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possible additional provisions for credit losses and charge-offs;</w:t>
            </w:r>
          </w:p>
        </w:tc>
      </w:tr>
    </w:tbl>
    <w:tbl>
      <w:tblPr>
        <w:tblW w:w="6340" w:type="dxa"/>
        <w:jc w:val="left"/>
        <w:tblInd w:w="0" w:type="dxa"/>
        <w:tblLayout w:type="fixed"/>
        <w:tblCellMar>
          <w:top w:w="0" w:type="dxa"/>
          <w:left w:w="0" w:type="dxa"/>
          <w:bottom w:w="0" w:type="dxa"/>
          <w:right w:w="0" w:type="dxa"/>
        </w:tblCellMar>
      </w:tblPr>
      <w:tblGrid>
        <w:gridCol w:w="75"/>
        <w:gridCol w:w="170"/>
        <w:gridCol w:w="6095"/>
      </w:tblGrid>
      <w:tr>
        <w:trPr/>
        <w:tc>
          <w:tcPr>
            <w:tcW w:w="75" w:type="dxa"/>
            <w:tcBorders/>
            <w:vAlign w:val="center"/>
          </w:tcPr>
          <w:p>
            <w:pPr>
              <w:pStyle w:val="TableContents"/>
              <w:bidi w:val="0"/>
              <w:spacing w:lineRule="auto" w:line="240" w:before="0" w:after="283"/>
              <w:jc w:val="left"/>
              <w:rPr/>
            </w:pPr>
            <w:r>
              <w:rPr/>
              <w:t> </w:t>
            </w:r>
          </w:p>
        </w:tc>
        <w:tc>
          <w:tcPr>
            <w:tcW w:w="170" w:type="dxa"/>
            <w:tcBorders/>
            <w:vAlign w:val="center"/>
          </w:tcPr>
          <w:p>
            <w:pPr>
              <w:pStyle w:val="TableContents"/>
              <w:bidi w:val="0"/>
              <w:spacing w:lineRule="auto" w:line="240" w:before="0" w:after="0"/>
              <w:ind w:left="0" w:right="0" w:hanging="0"/>
              <w:jc w:val="left"/>
              <w:rPr>
                <w:caps w:val="false"/>
                <w:smallCaps w:val="false"/>
              </w:rPr>
            </w:pPr>
            <w:r>
              <w:rPr>
                <w:caps w:val="false"/>
                <w:smallCaps w:val="false"/>
              </w:rPr>
              <w:t>●</w:t>
            </w:r>
          </w:p>
        </w:tc>
        <w:tc>
          <w:tcPr>
            <w:tcW w:w="60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credit risks of lending activities and deterioration in asset or credit quality;</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lineRule="auto" w:line="240" w:before="0" w:after="283"/>
              <w:jc w:val="left"/>
              <w:rPr/>
            </w:pPr>
            <w:r>
              <w:rPr/>
              <w:t> </w:t>
            </w:r>
          </w:p>
        </w:tc>
        <w:tc>
          <w:tcPr>
            <w:tcW w:w="170" w:type="dxa"/>
            <w:tcBorders/>
            <w:vAlign w:val="center"/>
          </w:tcPr>
          <w:p>
            <w:pPr>
              <w:pStyle w:val="TableContents"/>
              <w:bidi w:val="0"/>
              <w:spacing w:lineRule="auto" w:line="240"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extensive laws and regulations and supervision that we are subject to, including potential supervisory action by bank supervisory authorities;</w:t>
            </w:r>
          </w:p>
        </w:tc>
      </w:tr>
    </w:tbl>
    <w:tbl>
      <w:tblPr>
        <w:tblW w:w="7780" w:type="dxa"/>
        <w:jc w:val="left"/>
        <w:tblInd w:w="0" w:type="dxa"/>
        <w:tblLayout w:type="fixed"/>
        <w:tblCellMar>
          <w:top w:w="0" w:type="dxa"/>
          <w:left w:w="0" w:type="dxa"/>
          <w:bottom w:w="0" w:type="dxa"/>
          <w:right w:w="0" w:type="dxa"/>
        </w:tblCellMar>
      </w:tblPr>
      <w:tblGrid>
        <w:gridCol w:w="75"/>
        <w:gridCol w:w="170"/>
        <w:gridCol w:w="7535"/>
      </w:tblGrid>
      <w:tr>
        <w:trPr/>
        <w:tc>
          <w:tcPr>
            <w:tcW w:w="75" w:type="dxa"/>
            <w:tcBorders/>
            <w:vAlign w:val="center"/>
          </w:tcPr>
          <w:p>
            <w:pPr>
              <w:pStyle w:val="TableContents"/>
              <w:bidi w:val="0"/>
              <w:spacing w:lineRule="auto" w:line="240" w:before="0" w:after="283"/>
              <w:jc w:val="left"/>
              <w:rPr/>
            </w:pPr>
            <w:r>
              <w:rPr/>
              <w:t> </w:t>
            </w:r>
          </w:p>
        </w:tc>
        <w:tc>
          <w:tcPr>
            <w:tcW w:w="170" w:type="dxa"/>
            <w:tcBorders/>
            <w:vAlign w:val="center"/>
          </w:tcPr>
          <w:p>
            <w:pPr>
              <w:pStyle w:val="TableContents"/>
              <w:bidi w:val="0"/>
              <w:spacing w:lineRule="auto" w:line="240" w:before="0" w:after="0"/>
              <w:ind w:left="0" w:right="0" w:hanging="0"/>
              <w:jc w:val="left"/>
              <w:rPr>
                <w:caps w:val="false"/>
                <w:smallCaps w:val="false"/>
              </w:rPr>
            </w:pPr>
            <w:r>
              <w:rPr>
                <w:caps w:val="false"/>
                <w:smallCaps w:val="false"/>
              </w:rPr>
              <w:t>●</w:t>
            </w:r>
          </w:p>
        </w:tc>
        <w:tc>
          <w:tcPr>
            <w:tcW w:w="75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compliance with the Bank Secrecy Act and other money laundering statutes and regulations;</w:t>
            </w:r>
          </w:p>
        </w:tc>
      </w:tr>
    </w:tbl>
    <w:tbl>
      <w:tblPr>
        <w:tblW w:w="2830" w:type="dxa"/>
        <w:jc w:val="left"/>
        <w:tblInd w:w="0" w:type="dxa"/>
        <w:tblLayout w:type="fixed"/>
        <w:tblCellMar>
          <w:top w:w="0" w:type="dxa"/>
          <w:left w:w="0" w:type="dxa"/>
          <w:bottom w:w="0" w:type="dxa"/>
          <w:right w:w="0" w:type="dxa"/>
        </w:tblCellMar>
      </w:tblPr>
      <w:tblGrid>
        <w:gridCol w:w="75"/>
        <w:gridCol w:w="170"/>
        <w:gridCol w:w="2585"/>
      </w:tblGrid>
      <w:tr>
        <w:trPr/>
        <w:tc>
          <w:tcPr>
            <w:tcW w:w="75" w:type="dxa"/>
            <w:tcBorders/>
            <w:vAlign w:val="center"/>
          </w:tcPr>
          <w:p>
            <w:pPr>
              <w:pStyle w:val="TableContents"/>
              <w:bidi w:val="0"/>
              <w:spacing w:lineRule="auto" w:line="240" w:before="0" w:after="283"/>
              <w:jc w:val="left"/>
              <w:rPr/>
            </w:pPr>
            <w:r>
              <w:rPr/>
              <w:t> </w:t>
            </w:r>
          </w:p>
        </w:tc>
        <w:tc>
          <w:tcPr>
            <w:tcW w:w="170" w:type="dxa"/>
            <w:tcBorders/>
            <w:vAlign w:val="center"/>
          </w:tcPr>
          <w:p>
            <w:pPr>
              <w:pStyle w:val="TableContents"/>
              <w:bidi w:val="0"/>
              <w:spacing w:lineRule="auto" w:line="240" w:before="0" w:after="0"/>
              <w:ind w:left="0" w:right="0" w:hanging="0"/>
              <w:jc w:val="left"/>
              <w:rPr>
                <w:caps w:val="false"/>
                <w:smallCaps w:val="false"/>
              </w:rPr>
            </w:pPr>
            <w:r>
              <w:rPr>
                <w:caps w:val="false"/>
                <w:smallCaps w:val="false"/>
              </w:rPr>
              <w:t>●</w:t>
            </w:r>
          </w:p>
        </w:tc>
        <w:tc>
          <w:tcPr>
            <w:tcW w:w="25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potential goodwill impairment;</w:t>
            </w:r>
          </w:p>
        </w:tc>
      </w:tr>
    </w:tbl>
    <w:tbl>
      <w:tblPr>
        <w:tblW w:w="1405" w:type="dxa"/>
        <w:jc w:val="left"/>
        <w:tblInd w:w="0" w:type="dxa"/>
        <w:tblLayout w:type="fixed"/>
        <w:tblCellMar>
          <w:top w:w="0" w:type="dxa"/>
          <w:left w:w="0" w:type="dxa"/>
          <w:bottom w:w="0" w:type="dxa"/>
          <w:right w:w="0" w:type="dxa"/>
        </w:tblCellMar>
      </w:tblPr>
      <w:tblGrid>
        <w:gridCol w:w="75"/>
        <w:gridCol w:w="170"/>
        <w:gridCol w:w="1160"/>
      </w:tblGrid>
      <w:tr>
        <w:trPr/>
        <w:tc>
          <w:tcPr>
            <w:tcW w:w="75" w:type="dxa"/>
            <w:tcBorders/>
            <w:vAlign w:val="center"/>
          </w:tcPr>
          <w:p>
            <w:pPr>
              <w:pStyle w:val="TableContents"/>
              <w:bidi w:val="0"/>
              <w:spacing w:lineRule="auto" w:line="240" w:before="0" w:after="283"/>
              <w:jc w:val="left"/>
              <w:rPr/>
            </w:pPr>
            <w:r>
              <w:rPr/>
              <w:t> </w:t>
            </w:r>
          </w:p>
        </w:tc>
        <w:tc>
          <w:tcPr>
            <w:tcW w:w="170" w:type="dxa"/>
            <w:tcBorders/>
            <w:vAlign w:val="center"/>
          </w:tcPr>
          <w:p>
            <w:pPr>
              <w:pStyle w:val="TableContents"/>
              <w:bidi w:val="0"/>
              <w:spacing w:lineRule="auto" w:line="240" w:before="0" w:after="0"/>
              <w:ind w:left="0" w:right="0" w:hanging="0"/>
              <w:jc w:val="left"/>
              <w:rPr>
                <w:caps w:val="false"/>
                <w:smallCaps w:val="false"/>
              </w:rPr>
            </w:pPr>
            <w:r>
              <w:rPr>
                <w:caps w:val="false"/>
                <w:smallCaps w:val="false"/>
              </w:rPr>
              <w:t>●</w:t>
            </w:r>
          </w:p>
        </w:tc>
        <w:tc>
          <w:tcPr>
            <w:tcW w:w="11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liquidity risk;</w:t>
            </w:r>
          </w:p>
        </w:tc>
      </w:tr>
    </w:tbl>
    <w:tbl>
      <w:tblPr>
        <w:tblW w:w="2590" w:type="dxa"/>
        <w:jc w:val="left"/>
        <w:tblInd w:w="0" w:type="dxa"/>
        <w:tblLayout w:type="fixed"/>
        <w:tblCellMar>
          <w:top w:w="0" w:type="dxa"/>
          <w:left w:w="0" w:type="dxa"/>
          <w:bottom w:w="0" w:type="dxa"/>
          <w:right w:w="0" w:type="dxa"/>
        </w:tblCellMar>
      </w:tblPr>
      <w:tblGrid>
        <w:gridCol w:w="75"/>
        <w:gridCol w:w="170"/>
        <w:gridCol w:w="2345"/>
      </w:tblGrid>
      <w:tr>
        <w:trPr/>
        <w:tc>
          <w:tcPr>
            <w:tcW w:w="75" w:type="dxa"/>
            <w:tcBorders/>
            <w:vAlign w:val="center"/>
          </w:tcPr>
          <w:p>
            <w:pPr>
              <w:pStyle w:val="TableContents"/>
              <w:bidi w:val="0"/>
              <w:spacing w:lineRule="auto" w:line="240" w:before="0" w:after="283"/>
              <w:jc w:val="left"/>
              <w:rPr/>
            </w:pPr>
            <w:r>
              <w:rPr/>
              <w:t> </w:t>
            </w:r>
          </w:p>
        </w:tc>
        <w:tc>
          <w:tcPr>
            <w:tcW w:w="170" w:type="dxa"/>
            <w:tcBorders/>
            <w:vAlign w:val="center"/>
          </w:tcPr>
          <w:p>
            <w:pPr>
              <w:pStyle w:val="TableContents"/>
              <w:bidi w:val="0"/>
              <w:spacing w:lineRule="auto" w:line="240" w:before="0" w:after="0"/>
              <w:ind w:left="0" w:right="0" w:hanging="0"/>
              <w:jc w:val="left"/>
              <w:rPr>
                <w:caps w:val="false"/>
                <w:smallCaps w:val="false"/>
              </w:rPr>
            </w:pPr>
            <w:r>
              <w:rPr>
                <w:caps w:val="false"/>
                <w:smallCaps w:val="false"/>
              </w:rPr>
              <w:t>●</w:t>
            </w:r>
          </w:p>
        </w:tc>
        <w:tc>
          <w:tcPr>
            <w:tcW w:w="23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fluctuations in interest rates;</w:t>
            </w:r>
          </w:p>
        </w:tc>
      </w:tr>
    </w:tbl>
    <w:tbl>
      <w:tblPr>
        <w:tblW w:w="3415" w:type="dxa"/>
        <w:jc w:val="left"/>
        <w:tblInd w:w="0" w:type="dxa"/>
        <w:tblLayout w:type="fixed"/>
        <w:tblCellMar>
          <w:top w:w="0" w:type="dxa"/>
          <w:left w:w="0" w:type="dxa"/>
          <w:bottom w:w="0" w:type="dxa"/>
          <w:right w:w="0" w:type="dxa"/>
        </w:tblCellMar>
      </w:tblPr>
      <w:tblGrid>
        <w:gridCol w:w="75"/>
        <w:gridCol w:w="170"/>
        <w:gridCol w:w="3170"/>
      </w:tblGrid>
      <w:tr>
        <w:trPr/>
        <w:tc>
          <w:tcPr>
            <w:tcW w:w="75" w:type="dxa"/>
            <w:tcBorders/>
            <w:vAlign w:val="center"/>
          </w:tcPr>
          <w:p>
            <w:pPr>
              <w:pStyle w:val="TableContents"/>
              <w:bidi w:val="0"/>
              <w:spacing w:lineRule="auto" w:line="240" w:before="0" w:after="283"/>
              <w:jc w:val="left"/>
              <w:rPr/>
            </w:pPr>
            <w:r>
              <w:rPr/>
              <w:t> </w:t>
            </w:r>
          </w:p>
        </w:tc>
        <w:tc>
          <w:tcPr>
            <w:tcW w:w="170" w:type="dxa"/>
            <w:tcBorders/>
            <w:vAlign w:val="center"/>
          </w:tcPr>
          <w:p>
            <w:pPr>
              <w:pStyle w:val="TableContents"/>
              <w:bidi w:val="0"/>
              <w:spacing w:before="0" w:after="283"/>
              <w:jc w:val="left"/>
              <w:rPr/>
            </w:pPr>
            <w:r>
              <w:rPr/>
              <w:t>●</w:t>
            </w:r>
          </w:p>
        </w:tc>
        <w:tc>
          <w:tcPr>
            <w:tcW w:w="3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failure to comply with debt covenants;</w:t>
            </w:r>
          </w:p>
        </w:tc>
      </w:tr>
    </w:tbl>
    <w:tbl>
      <w:tblPr>
        <w:tblW w:w="7255" w:type="dxa"/>
        <w:jc w:val="left"/>
        <w:tblInd w:w="0" w:type="dxa"/>
        <w:tblLayout w:type="fixed"/>
        <w:tblCellMar>
          <w:top w:w="0" w:type="dxa"/>
          <w:left w:w="0" w:type="dxa"/>
          <w:bottom w:w="0" w:type="dxa"/>
          <w:right w:w="0" w:type="dxa"/>
        </w:tblCellMar>
      </w:tblPr>
      <w:tblGrid>
        <w:gridCol w:w="75"/>
        <w:gridCol w:w="170"/>
        <w:gridCol w:w="7010"/>
      </w:tblGrid>
      <w:tr>
        <w:trPr/>
        <w:tc>
          <w:tcPr>
            <w:tcW w:w="75" w:type="dxa"/>
            <w:tcBorders/>
            <w:vAlign w:val="center"/>
          </w:tcPr>
          <w:p>
            <w:pPr>
              <w:pStyle w:val="TableContents"/>
              <w:bidi w:val="0"/>
              <w:spacing w:lineRule="auto" w:line="240" w:before="0" w:after="283"/>
              <w:jc w:val="left"/>
              <w:rPr/>
            </w:pPr>
            <w:r>
              <w:rPr/>
              <w:t> </w:t>
            </w:r>
          </w:p>
        </w:tc>
        <w:tc>
          <w:tcPr>
            <w:tcW w:w="170" w:type="dxa"/>
            <w:tcBorders/>
            <w:vAlign w:val="center"/>
          </w:tcPr>
          <w:p>
            <w:pPr>
              <w:pStyle w:val="TableContents"/>
              <w:bidi w:val="0"/>
              <w:spacing w:lineRule="auto" w:line="240" w:before="0" w:after="0"/>
              <w:ind w:left="0" w:right="0" w:hanging="0"/>
              <w:jc w:val="left"/>
              <w:rPr>
                <w:caps w:val="false"/>
                <w:smallCaps w:val="false"/>
              </w:rPr>
            </w:pPr>
            <w:r>
              <w:rPr>
                <w:caps w:val="false"/>
                <w:smallCaps w:val="false"/>
              </w:rPr>
              <w:t>●</w:t>
            </w:r>
          </w:p>
        </w:tc>
        <w:tc>
          <w:tcPr>
            <w:tcW w:w="70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associated with acquisitions and the expansion of our business into new markets;</w:t>
            </w:r>
          </w:p>
        </w:tc>
      </w:tr>
    </w:tbl>
    <w:tbl>
      <w:tblPr>
        <w:tblW w:w="2170" w:type="dxa"/>
        <w:jc w:val="left"/>
        <w:tblInd w:w="0" w:type="dxa"/>
        <w:tblLayout w:type="fixed"/>
        <w:tblCellMar>
          <w:top w:w="0" w:type="dxa"/>
          <w:left w:w="0" w:type="dxa"/>
          <w:bottom w:w="0" w:type="dxa"/>
          <w:right w:w="0" w:type="dxa"/>
        </w:tblCellMar>
      </w:tblPr>
      <w:tblGrid>
        <w:gridCol w:w="75"/>
        <w:gridCol w:w="170"/>
        <w:gridCol w:w="1925"/>
      </w:tblGrid>
      <w:tr>
        <w:trPr/>
        <w:tc>
          <w:tcPr>
            <w:tcW w:w="75" w:type="dxa"/>
            <w:tcBorders/>
            <w:vAlign w:val="center"/>
          </w:tcPr>
          <w:p>
            <w:pPr>
              <w:pStyle w:val="TableContents"/>
              <w:bidi w:val="0"/>
              <w:spacing w:lineRule="auto" w:line="240" w:before="0" w:after="283"/>
              <w:jc w:val="left"/>
              <w:rPr/>
            </w:pPr>
            <w:r>
              <w:rPr/>
              <w:t> </w:t>
            </w:r>
          </w:p>
        </w:tc>
        <w:tc>
          <w:tcPr>
            <w:tcW w:w="170" w:type="dxa"/>
            <w:tcBorders/>
            <w:vAlign w:val="center"/>
          </w:tcPr>
          <w:p>
            <w:pPr>
              <w:pStyle w:val="TableContents"/>
              <w:bidi w:val="0"/>
              <w:spacing w:lineRule="auto" w:line="240" w:before="0" w:after="0"/>
              <w:ind w:left="0" w:right="0" w:hanging="0"/>
              <w:jc w:val="left"/>
              <w:rPr>
                <w:caps w:val="false"/>
                <w:smallCaps w:val="false"/>
              </w:rPr>
            </w:pPr>
            <w:r>
              <w:rPr>
                <w:caps w:val="false"/>
                <w:smallCaps w:val="false"/>
              </w:rPr>
              <w:t>●</w:t>
            </w:r>
          </w:p>
        </w:tc>
        <w:tc>
          <w:tcPr>
            <w:tcW w:w="1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inflation and deflation;</w:t>
            </w:r>
          </w:p>
        </w:tc>
      </w:tr>
    </w:tbl>
    <w:tbl>
      <w:tblPr>
        <w:tblW w:w="5680" w:type="dxa"/>
        <w:jc w:val="left"/>
        <w:tblInd w:w="0" w:type="dxa"/>
        <w:tblLayout w:type="fixed"/>
        <w:tblCellMar>
          <w:top w:w="0" w:type="dxa"/>
          <w:left w:w="0" w:type="dxa"/>
          <w:bottom w:w="0" w:type="dxa"/>
          <w:right w:w="0" w:type="dxa"/>
        </w:tblCellMar>
      </w:tblPr>
      <w:tblGrid>
        <w:gridCol w:w="75"/>
        <w:gridCol w:w="170"/>
        <w:gridCol w:w="5435"/>
      </w:tblGrid>
      <w:tr>
        <w:trPr/>
        <w:tc>
          <w:tcPr>
            <w:tcW w:w="75" w:type="dxa"/>
            <w:tcBorders/>
            <w:vAlign w:val="center"/>
          </w:tcPr>
          <w:p>
            <w:pPr>
              <w:pStyle w:val="TableContents"/>
              <w:bidi w:val="0"/>
              <w:spacing w:lineRule="auto" w:line="240" w:before="0" w:after="283"/>
              <w:jc w:val="left"/>
              <w:rPr/>
            </w:pPr>
            <w:r>
              <w:rPr/>
              <w:t> </w:t>
            </w:r>
          </w:p>
        </w:tc>
        <w:tc>
          <w:tcPr>
            <w:tcW w:w="170" w:type="dxa"/>
            <w:tcBorders/>
            <w:vAlign w:val="center"/>
          </w:tcPr>
          <w:p>
            <w:pPr>
              <w:pStyle w:val="TableContents"/>
              <w:bidi w:val="0"/>
              <w:spacing w:lineRule="auto" w:line="240" w:before="0" w:after="0"/>
              <w:ind w:left="0" w:right="0" w:hanging="0"/>
              <w:jc w:val="left"/>
              <w:rPr>
                <w:caps w:val="false"/>
                <w:smallCaps w:val="false"/>
              </w:rPr>
            </w:pPr>
            <w:r>
              <w:rPr>
                <w:caps w:val="false"/>
                <w:smallCaps w:val="false"/>
              </w:rPr>
              <w:t>●</w:t>
            </w:r>
          </w:p>
        </w:tc>
        <w:tc>
          <w:tcPr>
            <w:tcW w:w="54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real estate market conditions and the value of real estate collateral;</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lineRule="auto" w:line="240" w:before="0" w:after="283"/>
              <w:jc w:val="left"/>
              <w:rPr/>
            </w:pPr>
            <w:r>
              <w:rPr/>
              <w:t> </w:t>
            </w:r>
          </w:p>
        </w:tc>
        <w:tc>
          <w:tcPr>
            <w:tcW w:w="170" w:type="dxa"/>
            <w:tcBorders/>
            <w:vAlign w:val="center"/>
          </w:tcPr>
          <w:p>
            <w:pPr>
              <w:pStyle w:val="TableContents"/>
              <w:bidi w:val="0"/>
              <w:spacing w:lineRule="auto" w:line="240"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effects of having concentrations in our loan portfolio, including commercial real estate and the risks of geographic and industry concentrations;</w:t>
            </w:r>
          </w:p>
        </w:tc>
      </w:tr>
    </w:tbl>
    <w:tbl>
      <w:tblPr>
        <w:tblW w:w="2350" w:type="dxa"/>
        <w:jc w:val="left"/>
        <w:tblInd w:w="0" w:type="dxa"/>
        <w:tblLayout w:type="fixed"/>
        <w:tblCellMar>
          <w:top w:w="0" w:type="dxa"/>
          <w:left w:w="0" w:type="dxa"/>
          <w:bottom w:w="0" w:type="dxa"/>
          <w:right w:w="0" w:type="dxa"/>
        </w:tblCellMar>
      </w:tblPr>
      <w:tblGrid>
        <w:gridCol w:w="75"/>
        <w:gridCol w:w="170"/>
        <w:gridCol w:w="2105"/>
      </w:tblGrid>
      <w:tr>
        <w:trPr/>
        <w:tc>
          <w:tcPr>
            <w:tcW w:w="75" w:type="dxa"/>
            <w:tcBorders/>
            <w:vAlign w:val="center"/>
          </w:tcPr>
          <w:p>
            <w:pPr>
              <w:pStyle w:val="TableContents"/>
              <w:bidi w:val="0"/>
              <w:spacing w:lineRule="auto" w:line="240" w:before="0" w:after="283"/>
              <w:jc w:val="left"/>
              <w:rPr/>
            </w:pPr>
            <w:r>
              <w:rPr/>
              <w:t> </w:t>
            </w:r>
          </w:p>
        </w:tc>
        <w:tc>
          <w:tcPr>
            <w:tcW w:w="170" w:type="dxa"/>
            <w:tcBorders/>
            <w:vAlign w:val="center"/>
          </w:tcPr>
          <w:p>
            <w:pPr>
              <w:pStyle w:val="TableContents"/>
              <w:bidi w:val="0"/>
              <w:spacing w:lineRule="auto" w:line="240" w:before="0" w:after="0"/>
              <w:ind w:left="0" w:right="0" w:hanging="0"/>
              <w:jc w:val="left"/>
              <w:rPr>
                <w:caps w:val="false"/>
                <w:smallCaps w:val="false"/>
              </w:rPr>
            </w:pPr>
            <w:r>
              <w:rPr>
                <w:caps w:val="false"/>
                <w:smallCaps w:val="false"/>
              </w:rPr>
              <w:t>●</w:t>
            </w:r>
          </w:p>
        </w:tc>
        <w:tc>
          <w:tcPr>
            <w:tcW w:w="21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environmental liabilities;</w:t>
            </w:r>
          </w:p>
        </w:tc>
      </w:tr>
    </w:tbl>
    <w:tbl>
      <w:tblPr>
        <w:tblW w:w="4060" w:type="dxa"/>
        <w:jc w:val="left"/>
        <w:tblInd w:w="0" w:type="dxa"/>
        <w:tblLayout w:type="fixed"/>
        <w:tblCellMar>
          <w:top w:w="0" w:type="dxa"/>
          <w:left w:w="0" w:type="dxa"/>
          <w:bottom w:w="0" w:type="dxa"/>
          <w:right w:w="0" w:type="dxa"/>
        </w:tblCellMar>
      </w:tblPr>
      <w:tblGrid>
        <w:gridCol w:w="75"/>
        <w:gridCol w:w="170"/>
        <w:gridCol w:w="3815"/>
      </w:tblGrid>
      <w:tr>
        <w:trPr/>
        <w:tc>
          <w:tcPr>
            <w:tcW w:w="75" w:type="dxa"/>
            <w:tcBorders/>
            <w:vAlign w:val="center"/>
          </w:tcPr>
          <w:p>
            <w:pPr>
              <w:pStyle w:val="TableContents"/>
              <w:bidi w:val="0"/>
              <w:spacing w:lineRule="auto" w:line="240" w:before="0" w:after="283"/>
              <w:jc w:val="left"/>
              <w:rPr/>
            </w:pPr>
            <w:r>
              <w:rPr/>
              <w:t> </w:t>
            </w:r>
          </w:p>
        </w:tc>
        <w:tc>
          <w:tcPr>
            <w:tcW w:w="170" w:type="dxa"/>
            <w:tcBorders/>
            <w:vAlign w:val="center"/>
          </w:tcPr>
          <w:p>
            <w:pPr>
              <w:pStyle w:val="TableContents"/>
              <w:bidi w:val="0"/>
              <w:spacing w:lineRule="auto" w:line="240" w:before="0" w:after="0"/>
              <w:ind w:left="0" w:right="0" w:hanging="0"/>
              <w:jc w:val="left"/>
              <w:rPr>
                <w:caps w:val="false"/>
                <w:smallCaps w:val="false"/>
              </w:rPr>
            </w:pPr>
            <w:r>
              <w:rPr>
                <w:caps w:val="false"/>
                <w:smallCaps w:val="false"/>
              </w:rPr>
              <w:t>●</w:t>
            </w:r>
          </w:p>
        </w:tc>
        <w:tc>
          <w:tcPr>
            <w:tcW w:w="38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compete with larger competitors;</w:t>
            </w:r>
          </w:p>
        </w:tc>
      </w:tr>
    </w:tbl>
    <w:tbl>
      <w:tblPr>
        <w:tblW w:w="3100" w:type="dxa"/>
        <w:jc w:val="left"/>
        <w:tblInd w:w="0" w:type="dxa"/>
        <w:tblLayout w:type="fixed"/>
        <w:tblCellMar>
          <w:top w:w="0" w:type="dxa"/>
          <w:left w:w="0" w:type="dxa"/>
          <w:bottom w:w="0" w:type="dxa"/>
          <w:right w:w="0" w:type="dxa"/>
        </w:tblCellMar>
      </w:tblPr>
      <w:tblGrid>
        <w:gridCol w:w="75"/>
        <w:gridCol w:w="170"/>
        <w:gridCol w:w="2855"/>
      </w:tblGrid>
      <w:tr>
        <w:trPr/>
        <w:tc>
          <w:tcPr>
            <w:tcW w:w="75" w:type="dxa"/>
            <w:tcBorders/>
            <w:vAlign w:val="center"/>
          </w:tcPr>
          <w:p>
            <w:pPr>
              <w:pStyle w:val="TableContents"/>
              <w:bidi w:val="0"/>
              <w:spacing w:lineRule="auto" w:line="240" w:before="0" w:after="283"/>
              <w:jc w:val="left"/>
              <w:rPr/>
            </w:pPr>
            <w:r>
              <w:rPr/>
              <w:t> </w:t>
            </w:r>
          </w:p>
        </w:tc>
        <w:tc>
          <w:tcPr>
            <w:tcW w:w="170" w:type="dxa"/>
            <w:tcBorders/>
            <w:vAlign w:val="center"/>
          </w:tcPr>
          <w:p>
            <w:pPr>
              <w:pStyle w:val="TableContents"/>
              <w:bidi w:val="0"/>
              <w:spacing w:lineRule="auto" w:line="240" w:before="0" w:after="0"/>
              <w:ind w:left="0" w:right="0" w:hanging="0"/>
              <w:jc w:val="left"/>
              <w:rPr>
                <w:caps w:val="false"/>
                <w:smallCaps w:val="false"/>
              </w:rPr>
            </w:pPr>
            <w:r>
              <w:rPr>
                <w:caps w:val="false"/>
                <w:smallCaps w:val="false"/>
              </w:rPr>
              <w:t>●</w:t>
            </w:r>
          </w:p>
        </w:tc>
        <w:tc>
          <w:tcPr>
            <w:tcW w:w="2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retain key personnel;</w:t>
            </w:r>
          </w:p>
        </w:tc>
      </w:tr>
    </w:tbl>
    <w:tbl>
      <w:tblPr>
        <w:tblW w:w="3835" w:type="dxa"/>
        <w:jc w:val="left"/>
        <w:tblInd w:w="0" w:type="dxa"/>
        <w:tblLayout w:type="fixed"/>
        <w:tblCellMar>
          <w:top w:w="0" w:type="dxa"/>
          <w:left w:w="0" w:type="dxa"/>
          <w:bottom w:w="0" w:type="dxa"/>
          <w:right w:w="0" w:type="dxa"/>
        </w:tblCellMar>
      </w:tblPr>
      <w:tblGrid>
        <w:gridCol w:w="75"/>
        <w:gridCol w:w="170"/>
        <w:gridCol w:w="3590"/>
      </w:tblGrid>
      <w:tr>
        <w:trPr/>
        <w:tc>
          <w:tcPr>
            <w:tcW w:w="75" w:type="dxa"/>
            <w:tcBorders/>
            <w:vAlign w:val="center"/>
          </w:tcPr>
          <w:p>
            <w:pPr>
              <w:pStyle w:val="TableContents"/>
              <w:bidi w:val="0"/>
              <w:spacing w:lineRule="auto" w:line="240" w:before="0" w:after="283"/>
              <w:jc w:val="left"/>
              <w:rPr/>
            </w:pPr>
            <w:r>
              <w:rPr/>
              <w:t> </w:t>
            </w:r>
          </w:p>
        </w:tc>
        <w:tc>
          <w:tcPr>
            <w:tcW w:w="170" w:type="dxa"/>
            <w:tcBorders/>
            <w:vAlign w:val="center"/>
          </w:tcPr>
          <w:p>
            <w:pPr>
              <w:pStyle w:val="TableContents"/>
              <w:bidi w:val="0"/>
              <w:spacing w:lineRule="auto" w:line="240" w:before="0" w:after="0"/>
              <w:ind w:left="0" w:right="0" w:hanging="0"/>
              <w:jc w:val="left"/>
              <w:rPr>
                <w:caps w:val="false"/>
                <w:smallCaps w:val="false"/>
              </w:rPr>
            </w:pPr>
            <w:r>
              <w:rPr>
                <w:caps w:val="false"/>
                <w:smallCaps w:val="false"/>
              </w:rPr>
              <w:t>●</w:t>
            </w:r>
          </w:p>
        </w:tc>
        <w:tc>
          <w:tcPr>
            <w:tcW w:w="3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successful management of reputational risk;</w:t>
            </w:r>
          </w:p>
        </w:tc>
      </w:tr>
    </w:tbl>
    <w:tbl>
      <w:tblPr>
        <w:tblW w:w="9085" w:type="dxa"/>
        <w:jc w:val="left"/>
        <w:tblInd w:w="0" w:type="dxa"/>
        <w:tblLayout w:type="fixed"/>
        <w:tblCellMar>
          <w:top w:w="0" w:type="dxa"/>
          <w:left w:w="0" w:type="dxa"/>
          <w:bottom w:w="0" w:type="dxa"/>
          <w:right w:w="0" w:type="dxa"/>
        </w:tblCellMar>
      </w:tblPr>
      <w:tblGrid>
        <w:gridCol w:w="75"/>
        <w:gridCol w:w="170"/>
        <w:gridCol w:w="8840"/>
      </w:tblGrid>
      <w:tr>
        <w:trPr/>
        <w:tc>
          <w:tcPr>
            <w:tcW w:w="75" w:type="dxa"/>
            <w:tcBorders/>
            <w:vAlign w:val="center"/>
          </w:tcPr>
          <w:p>
            <w:pPr>
              <w:pStyle w:val="TableContents"/>
              <w:bidi w:val="0"/>
              <w:spacing w:lineRule="auto" w:line="240" w:before="0" w:after="283"/>
              <w:jc w:val="left"/>
              <w:rPr/>
            </w:pPr>
            <w:r>
              <w:rPr/>
              <w:t> </w:t>
            </w:r>
          </w:p>
        </w:tc>
        <w:tc>
          <w:tcPr>
            <w:tcW w:w="170" w:type="dxa"/>
            <w:tcBorders/>
            <w:vAlign w:val="center"/>
          </w:tcPr>
          <w:p>
            <w:pPr>
              <w:pStyle w:val="TableContents"/>
              <w:bidi w:val="0"/>
              <w:spacing w:lineRule="auto" w:line="240" w:before="0" w:after="0"/>
              <w:ind w:left="0" w:right="0" w:hanging="0"/>
              <w:jc w:val="left"/>
              <w:rPr>
                <w:caps w:val="false"/>
                <w:smallCaps w:val="false"/>
              </w:rPr>
            </w:pPr>
            <w:r>
              <w:rPr>
                <w:caps w:val="false"/>
                <w:smallCaps w:val="false"/>
              </w:rPr>
              <w:t>●</w:t>
            </w:r>
          </w:p>
        </w:tc>
        <w:tc>
          <w:tcPr>
            <w:tcW w:w="8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severe weather, natural disasters, earthquakes, fires, or other adverse external events could harm our business;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lineRule="auto" w:line="240" w:before="0" w:after="283"/>
              <w:jc w:val="left"/>
              <w:rPr/>
            </w:pPr>
            <w:r>
              <w:rPr/>
              <w:t> </w:t>
            </w:r>
          </w:p>
        </w:tc>
        <w:tc>
          <w:tcPr>
            <w:tcW w:w="170" w:type="dxa"/>
            <w:tcBorders/>
            <w:vAlign w:val="center"/>
          </w:tcPr>
          <w:p>
            <w:pPr>
              <w:pStyle w:val="TableContents"/>
              <w:bidi w:val="0"/>
              <w:spacing w:lineRule="auto" w:line="240"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geopolitical conditions, including acts or threats of terrorism, actions taken by the U.S. or other governments in response to acts or threats of terrorism and/or military conflicts, including the wars between Russia and Ukraine and in the Middle East, and increasing tensions between China and Taiwan, which could impact business and economic conditions in the U.S. and abroad;</w:t>
            </w:r>
          </w:p>
        </w:tc>
      </w:tr>
      <w:tr>
        <w:trPr/>
        <w:tc>
          <w:tcPr>
            <w:tcW w:w="75" w:type="dxa"/>
            <w:tcBorders/>
            <w:vAlign w:val="center"/>
          </w:tcPr>
          <w:p>
            <w:pPr>
              <w:pStyle w:val="TableContents"/>
              <w:bidi w:val="0"/>
              <w:spacing w:lineRule="auto" w:line="240"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tariffs, trade policies, and related tensions, which could impact our clients, specific industry sectors, and/or broader economic conditions and financial market;</w:t>
            </w:r>
          </w:p>
        </w:tc>
      </w:tr>
      <w:tr>
        <w:trPr/>
        <w:tc>
          <w:tcPr>
            <w:tcW w:w="75" w:type="dxa"/>
            <w:tcBorders/>
            <w:vAlign w:val="center"/>
          </w:tcPr>
          <w:p>
            <w:pPr>
              <w:pStyle w:val="TableContents"/>
              <w:bidi w:val="0"/>
              <w:spacing w:lineRule="auto" w:line="240"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public health crises and pandemics, and their effects on the economic and business environments in which we operate, including our credit quality and business operations, as well as the impact on general economic and financial market conditions;</w:t>
            </w:r>
          </w:p>
        </w:tc>
      </w:tr>
      <w:tr>
        <w:trPr/>
        <w:tc>
          <w:tcPr>
            <w:tcW w:w="75" w:type="dxa"/>
            <w:tcBorders/>
            <w:vAlign w:val="center"/>
          </w:tcPr>
          <w:p>
            <w:pPr>
              <w:pStyle w:val="TableContents"/>
              <w:bidi w:val="0"/>
              <w:spacing w:lineRule="auto" w:line="240" w:before="0" w:after="283"/>
              <w:jc w:val="left"/>
              <w:rPr/>
            </w:pPr>
            <w:r>
              <w:rPr/>
              <w:t> </w:t>
            </w:r>
          </w:p>
        </w:tc>
        <w:tc>
          <w:tcPr>
            <w:tcW w:w="170" w:type="dxa"/>
            <w:tcBorders/>
            <w:vAlign w:val="center"/>
          </w:tcPr>
          <w:p>
            <w:pPr>
              <w:pStyle w:val="TableContents"/>
              <w:bidi w:val="0"/>
              <w:spacing w:lineRule="auto" w:line="240"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economic or business conditions in Asia, and other regions where the Bank has operations;</w:t>
            </w:r>
          </w:p>
        </w:tc>
      </w:tr>
      <w:tr>
        <w:trPr/>
        <w:tc>
          <w:tcPr>
            <w:tcW w:w="75" w:type="dxa"/>
            <w:tcBorders/>
            <w:vAlign w:val="center"/>
          </w:tcPr>
          <w:p>
            <w:pPr>
              <w:pStyle w:val="TableContents"/>
              <w:bidi w:val="0"/>
              <w:spacing w:lineRule="auto" w:line="240" w:before="0" w:after="283"/>
              <w:jc w:val="left"/>
              <w:rPr/>
            </w:pPr>
            <w:r>
              <w:rPr/>
              <w:t> </w:t>
            </w:r>
          </w:p>
        </w:tc>
        <w:tc>
          <w:tcPr>
            <w:tcW w:w="170" w:type="dxa"/>
            <w:tcBorders/>
            <w:vAlign w:val="center"/>
          </w:tcPr>
          <w:p>
            <w:pPr>
              <w:pStyle w:val="TableContents"/>
              <w:bidi w:val="0"/>
              <w:spacing w:lineRule="auto" w:line="240"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failures, interruptions, or security breaches of our information systems;</w:t>
            </w:r>
          </w:p>
        </w:tc>
      </w:tr>
      <w:tr>
        <w:trPr/>
        <w:tc>
          <w:tcPr>
            <w:tcW w:w="75" w:type="dxa"/>
            <w:tcBorders/>
            <w:vAlign w:val="center"/>
          </w:tcPr>
          <w:p>
            <w:pPr>
              <w:pStyle w:val="TableContents"/>
              <w:bidi w:val="0"/>
              <w:spacing w:lineRule="auto" w:line="240" w:before="0" w:after="283"/>
              <w:jc w:val="left"/>
              <w:rPr/>
            </w:pPr>
            <w:r>
              <w:rPr/>
              <w:t> </w:t>
            </w:r>
          </w:p>
        </w:tc>
        <w:tc>
          <w:tcPr>
            <w:tcW w:w="170" w:type="dxa"/>
            <w:tcBorders/>
            <w:vAlign w:val="center"/>
          </w:tcPr>
          <w:p>
            <w:pPr>
              <w:pStyle w:val="TableContents"/>
              <w:bidi w:val="0"/>
              <w:spacing w:lineRule="auto" w:line="240"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climate change, including any enhanced regulatory, compliance, credit and reputational risks and costs;</w:t>
            </w:r>
          </w:p>
        </w:tc>
      </w:tr>
      <w:tr>
        <w:trPr/>
        <w:tc>
          <w:tcPr>
            <w:tcW w:w="75" w:type="dxa"/>
            <w:tcBorders/>
            <w:vAlign w:val="center"/>
          </w:tcPr>
          <w:p>
            <w:pPr>
              <w:pStyle w:val="TableContents"/>
              <w:bidi w:val="0"/>
              <w:spacing w:lineRule="auto" w:line="240" w:before="0" w:after="283"/>
              <w:jc w:val="left"/>
              <w:rPr/>
            </w:pPr>
            <w:r>
              <w:rPr/>
              <w:t> </w:t>
            </w:r>
          </w:p>
        </w:tc>
        <w:tc>
          <w:tcPr>
            <w:tcW w:w="170" w:type="dxa"/>
            <w:tcBorders/>
            <w:vAlign w:val="center"/>
          </w:tcPr>
          <w:p>
            <w:pPr>
              <w:pStyle w:val="TableContents"/>
              <w:bidi w:val="0"/>
              <w:spacing w:lineRule="auto" w:line="240"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cybersecurity threats and the cost of defending against them;</w:t>
            </w:r>
          </w:p>
        </w:tc>
      </w:tr>
      <w:tr>
        <w:trPr/>
        <w:tc>
          <w:tcPr>
            <w:tcW w:w="75" w:type="dxa"/>
            <w:tcBorders/>
            <w:vAlign w:val="center"/>
          </w:tcPr>
          <w:p>
            <w:pPr>
              <w:pStyle w:val="TableContents"/>
              <w:bidi w:val="0"/>
              <w:spacing w:lineRule="auto" w:line="240" w:before="0" w:after="283"/>
              <w:jc w:val="left"/>
              <w:rPr/>
            </w:pPr>
            <w:r>
              <w:rPr/>
              <w:t> </w:t>
            </w:r>
          </w:p>
        </w:tc>
        <w:tc>
          <w:tcPr>
            <w:tcW w:w="170" w:type="dxa"/>
            <w:tcBorders/>
            <w:vAlign w:val="center"/>
          </w:tcPr>
          <w:p>
            <w:pPr>
              <w:pStyle w:val="TableContents"/>
              <w:bidi w:val="0"/>
              <w:spacing w:lineRule="auto" w:line="240"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adapt our systems to the expanding use of technology in banking;</w:t>
            </w:r>
          </w:p>
        </w:tc>
      </w:tr>
      <w:tr>
        <w:trPr/>
        <w:tc>
          <w:tcPr>
            <w:tcW w:w="75" w:type="dxa"/>
            <w:tcBorders/>
            <w:vAlign w:val="center"/>
          </w:tcPr>
          <w:p>
            <w:pPr>
              <w:pStyle w:val="TableContents"/>
              <w:bidi w:val="0"/>
              <w:spacing w:lineRule="auto" w:line="240" w:before="0" w:after="283"/>
              <w:jc w:val="left"/>
              <w:rPr/>
            </w:pPr>
            <w:r>
              <w:rPr/>
              <w:t> </w:t>
            </w:r>
          </w:p>
        </w:tc>
        <w:tc>
          <w:tcPr>
            <w:tcW w:w="170" w:type="dxa"/>
            <w:tcBorders/>
            <w:vAlign w:val="center"/>
          </w:tcPr>
          <w:p>
            <w:pPr>
              <w:pStyle w:val="TableContents"/>
              <w:bidi w:val="0"/>
              <w:spacing w:lineRule="auto" w:line="240"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lineRule="auto" w:line="240"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risk management processes and strategies;</w:t>
            </w:r>
          </w:p>
        </w:tc>
      </w:tr>
      <w:tr>
        <w:trPr/>
        <w:tc>
          <w:tcPr>
            <w:tcW w:w="75" w:type="dxa"/>
            <w:tcBorders/>
            <w:vAlign w:val="center"/>
          </w:tcPr>
          <w:p>
            <w:pPr>
              <w:pStyle w:val="TableContents"/>
              <w:bidi w:val="0"/>
              <w:spacing w:lineRule="auto" w:line="240" w:before="0" w:after="283"/>
              <w:jc w:val="left"/>
              <w:rPr/>
            </w:pPr>
            <w:r>
              <w:rPr/>
              <w:t> </w:t>
            </w:r>
          </w:p>
        </w:tc>
        <w:tc>
          <w:tcPr>
            <w:tcW w:w="170" w:type="dxa"/>
            <w:tcBorders/>
            <w:vAlign w:val="center"/>
          </w:tcPr>
          <w:p>
            <w:pPr>
              <w:pStyle w:val="TableContents"/>
              <w:bidi w:val="0"/>
              <w:spacing w:lineRule="auto" w:line="240"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impact of regulatory enforcement actions, if any;</w:t>
            </w:r>
          </w:p>
        </w:tc>
      </w:tr>
      <w:tr>
        <w:trPr/>
        <w:tc>
          <w:tcPr>
            <w:tcW w:w="75" w:type="dxa"/>
            <w:tcBorders/>
            <w:vAlign w:val="center"/>
          </w:tcPr>
          <w:p>
            <w:pPr>
              <w:pStyle w:val="TableContents"/>
              <w:bidi w:val="0"/>
              <w:spacing w:lineRule="auto" w:line="240" w:before="0" w:after="283"/>
              <w:jc w:val="left"/>
              <w:rPr/>
            </w:pPr>
            <w:r>
              <w:rPr/>
              <w:t> </w:t>
            </w:r>
          </w:p>
        </w:tc>
        <w:tc>
          <w:tcPr>
            <w:tcW w:w="170" w:type="dxa"/>
            <w:tcBorders/>
            <w:vAlign w:val="center"/>
          </w:tcPr>
          <w:p>
            <w:pPr>
              <w:pStyle w:val="TableContents"/>
              <w:bidi w:val="0"/>
              <w:spacing w:lineRule="auto" w:line="240"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provisions in our charter and bylaws that may affect acquisition of the Company;</w:t>
            </w:r>
          </w:p>
        </w:tc>
      </w:tr>
      <w:tr>
        <w:trPr/>
        <w:tc>
          <w:tcPr>
            <w:tcW w:w="75" w:type="dxa"/>
            <w:tcBorders/>
            <w:vAlign w:val="center"/>
          </w:tcPr>
          <w:p>
            <w:pPr>
              <w:pStyle w:val="TableContents"/>
              <w:bidi w:val="0"/>
              <w:spacing w:lineRule="auto" w:line="240" w:before="0" w:after="283"/>
              <w:jc w:val="left"/>
              <w:rPr/>
            </w:pPr>
            <w:r>
              <w:rPr/>
              <w:t> </w:t>
            </w:r>
          </w:p>
        </w:tc>
        <w:tc>
          <w:tcPr>
            <w:tcW w:w="170" w:type="dxa"/>
            <w:tcBorders/>
            <w:vAlign w:val="center"/>
          </w:tcPr>
          <w:p>
            <w:pPr>
              <w:pStyle w:val="TableContents"/>
              <w:bidi w:val="0"/>
              <w:spacing w:lineRule="auto" w:line="240"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tax laws and regulations;</w:t>
            </w:r>
          </w:p>
        </w:tc>
      </w:tr>
      <w:tr>
        <w:trPr/>
        <w:tc>
          <w:tcPr>
            <w:tcW w:w="75" w:type="dxa"/>
            <w:tcBorders/>
            <w:vAlign w:val="center"/>
          </w:tcPr>
          <w:p>
            <w:pPr>
              <w:pStyle w:val="TableContents"/>
              <w:bidi w:val="0"/>
              <w:spacing w:lineRule="auto" w:line="240" w:before="0" w:after="283"/>
              <w:jc w:val="left"/>
              <w:rPr/>
            </w:pPr>
            <w:r>
              <w:rPr/>
              <w:t> </w:t>
            </w:r>
          </w:p>
        </w:tc>
        <w:tc>
          <w:tcPr>
            <w:tcW w:w="170" w:type="dxa"/>
            <w:tcBorders/>
            <w:vAlign w:val="center"/>
          </w:tcPr>
          <w:p>
            <w:pPr>
              <w:pStyle w:val="TableContents"/>
              <w:bidi w:val="0"/>
              <w:spacing w:lineRule="auto" w:line="240"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impact of governmental efforts to restructure the U.S. financial regulatory system and increased costs of compliance and other risks associated with changes in regulation, including any amendments to the Dodd-Frank Wall Street Reform and Consumer Protection Act;</w:t>
            </w:r>
          </w:p>
        </w:tc>
      </w:tr>
      <w:tr>
        <w:trPr/>
        <w:tc>
          <w:tcPr>
            <w:tcW w:w="75" w:type="dxa"/>
            <w:tcBorders/>
            <w:vAlign w:val="center"/>
          </w:tcPr>
          <w:p>
            <w:pPr>
              <w:pStyle w:val="TableContents"/>
              <w:bidi w:val="0"/>
              <w:spacing w:lineRule="auto" w:line="240" w:before="0" w:after="283"/>
              <w:jc w:val="left"/>
              <w:rPr/>
            </w:pPr>
            <w:r>
              <w:rPr/>
              <w:t> </w:t>
            </w:r>
          </w:p>
        </w:tc>
        <w:tc>
          <w:tcPr>
            <w:tcW w:w="170" w:type="dxa"/>
            <w:tcBorders/>
            <w:vAlign w:val="center"/>
          </w:tcPr>
          <w:p>
            <w:pPr>
              <w:pStyle w:val="TableContents"/>
              <w:bidi w:val="0"/>
              <w:spacing w:lineRule="auto" w:line="240"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impact of changes in the Federal Deposit Insurance Corporation (“FDIC”) insurance assessment rate and the rules and regulations related to the calculation of the FDIC insurance assessments; </w:t>
            </w:r>
          </w:p>
        </w:tc>
      </w:tr>
      <w:tr>
        <w:trPr/>
        <w:tc>
          <w:tcPr>
            <w:tcW w:w="75" w:type="dxa"/>
            <w:tcBorders/>
            <w:vAlign w:val="center"/>
          </w:tcPr>
          <w:p>
            <w:pPr>
              <w:pStyle w:val="TableContents"/>
              <w:bidi w:val="0"/>
              <w:spacing w:lineRule="auto" w:line="240" w:before="0" w:after="283"/>
              <w:jc w:val="left"/>
              <w:rPr/>
            </w:pPr>
            <w:r>
              <w:rPr/>
              <w:t> </w:t>
            </w:r>
          </w:p>
        </w:tc>
        <w:tc>
          <w:tcPr>
            <w:tcW w:w="170" w:type="dxa"/>
            <w:tcBorders/>
            <w:vAlign w:val="center"/>
          </w:tcPr>
          <w:p>
            <w:pPr>
              <w:pStyle w:val="TableContents"/>
              <w:bidi w:val="0"/>
              <w:spacing w:lineRule="auto" w:line="240"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effect of changes in accounting policies and practices or accounting standards, as may be adopted from time-to-time by bank regulatory agencies, the U.S. Securities and Exchange Commission (“SEC”), the Public Company Accounting Oversight Board, the Financial Accounting Standards Board (“FASB”) or other accounting standards setters;</w:t>
            </w:r>
          </w:p>
        </w:tc>
      </w:tr>
      <w:tr>
        <w:trPr/>
        <w:tc>
          <w:tcPr>
            <w:tcW w:w="75" w:type="dxa"/>
            <w:tcBorders/>
            <w:vAlign w:val="center"/>
          </w:tcPr>
          <w:p>
            <w:pPr>
              <w:pStyle w:val="TableContents"/>
              <w:bidi w:val="0"/>
              <w:spacing w:lineRule="auto" w:line="240"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fluctuations in our stock price;</w:t>
            </w:r>
          </w:p>
        </w:tc>
      </w:tr>
      <w:tr>
        <w:trPr/>
        <w:tc>
          <w:tcPr>
            <w:tcW w:w="75" w:type="dxa"/>
            <w:tcBorders/>
            <w:vAlign w:val="center"/>
          </w:tcPr>
          <w:p>
            <w:pPr>
              <w:pStyle w:val="TableContents"/>
              <w:bidi w:val="0"/>
              <w:spacing w:lineRule="auto" w:line="240" w:before="0" w:after="283"/>
              <w:jc w:val="left"/>
              <w:rPr/>
            </w:pPr>
            <w:r>
              <w:rPr/>
              <w:t> </w:t>
            </w:r>
          </w:p>
        </w:tc>
        <w:tc>
          <w:tcPr>
            <w:tcW w:w="170" w:type="dxa"/>
            <w:tcBorders/>
            <w:vAlign w:val="center"/>
          </w:tcPr>
          <w:p>
            <w:pPr>
              <w:pStyle w:val="TableContents"/>
              <w:bidi w:val="0"/>
              <w:spacing w:lineRule="auto" w:line="240"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restrictions on dividends and other distributions by laws and regulations and by our regulators and our capital structure;</w:t>
            </w:r>
          </w:p>
        </w:tc>
      </w:tr>
      <w:tr>
        <w:trPr/>
        <w:tc>
          <w:tcPr>
            <w:tcW w:w="75" w:type="dxa"/>
            <w:tcBorders/>
            <w:vAlign w:val="center"/>
          </w:tcPr>
          <w:p>
            <w:pPr>
              <w:pStyle w:val="TableContents"/>
              <w:bidi w:val="0"/>
              <w:spacing w:lineRule="auto" w:line="240" w:before="0" w:after="283"/>
              <w:ind w:left="0" w:right="0" w:hanging="0"/>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raise additional capital, if needed, and the potential resulting dilution of interests of holders of our common stock;</w:t>
            </w:r>
          </w:p>
        </w:tc>
      </w:tr>
      <w:tr>
        <w:trPr/>
        <w:tc>
          <w:tcPr>
            <w:tcW w:w="75" w:type="dxa"/>
            <w:tcBorders/>
            <w:vAlign w:val="center"/>
          </w:tcPr>
          <w:p>
            <w:pPr>
              <w:pStyle w:val="TableContents"/>
              <w:bidi w:val="0"/>
              <w:spacing w:lineRule="auto" w:line="240" w:before="0" w:after="283"/>
              <w:ind w:left="0" w:right="0" w:hanging="0"/>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soundness of other financial institutions and our ongoing relations with our various federal and state regulators, including the SEC, FDIC, FRB, California Department of Financial Protection and Innovation and Consumer Financial Protection Bureau; and</w:t>
            </w:r>
          </w:p>
        </w:tc>
      </w:tr>
      <w:tr>
        <w:trPr/>
        <w:tc>
          <w:tcPr>
            <w:tcW w:w="75" w:type="dxa"/>
            <w:tcBorders/>
            <w:vAlign w:val="center"/>
          </w:tcPr>
          <w:p>
            <w:pPr>
              <w:pStyle w:val="TableContents"/>
              <w:bidi w:val="0"/>
              <w:spacing w:lineRule="auto" w:line="240" w:before="0" w:after="283"/>
              <w:ind w:left="0" w:right="0" w:hanging="0"/>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success at managing the risks involved in the foregoing items.</w:t>
            </w:r>
          </w:p>
        </w:tc>
      </w:tr>
    </w:tbl>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foregoing factors should not be construed as exhaustive and should be read together with the other cautionary statements included in this Report. If one or more events related to these or other risks or uncertainties materialize, or if our underlying assumptions prove to be incorrect, actual results may differ materially from what we anticipate. Accordingly, you should not place undue reliance on any such forward-looking statements. Any forward-looking statement speaks only as of the date on which it is made, and we do not undertake any obligation to publicly update or review any forward-looking statement, whether as a result of new information, future developments or otherwise. New factors emerge from time to time, and it is not possible for us to predict which will arise. In addition, we cannot assess the impact of each factor on our business or the extent to which any factor, or combination of factors, may cause actual results to differ materially from those contained in any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7" w:name="Critical"/>
      <w:bookmarkEnd w:id="7"/>
      <w:r>
        <w:rPr>
          <w:rFonts w:ascii="Times New Roman" w:hAnsi="Times New Roman"/>
          <w:b/>
          <w:caps w:val="false"/>
          <w:smallCaps w:val="false"/>
          <w:sz w:val="20"/>
        </w:rPr>
        <w:t>CRITICAL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Management has established various accounting policies that govern the application of generally accepted accounting principles in the U.S. (“GAAP”) in the preparation of our financial statements. Certain accounting policies require management to make estimates and assumptions that affect the reported amounts of assets and liabilities, revenues and expenses, and related disclosures of contingent assets and liabilities at the date of our financial statements. Actual results may differ from these estimates under different assumptions or conditions. The Company’s critical accounting policies consist of the allowance for credit losses on loans held for investment, goodwill and income taxes. Please see Part II, </w:t>
      </w:r>
      <w:r>
        <w:rPr>
          <w:rFonts w:ascii="Times New Roman" w:hAnsi="Times New Roman"/>
          <w:i/>
          <w:caps w:val="false"/>
          <w:smallCaps w:val="false"/>
          <w:sz w:val="20"/>
        </w:rPr>
        <w:t>Item 7. Management</w:t>
      </w:r>
      <w:r>
        <w:rPr>
          <w:rFonts w:ascii="Times New Roman" w:hAnsi="Times New Roman"/>
          <w:caps w:val="false"/>
          <w:smallCaps w:val="false"/>
          <w:sz w:val="20"/>
        </w:rPr>
        <w:t>’</w:t>
      </w:r>
      <w:r>
        <w:rPr>
          <w:rFonts w:ascii="Times New Roman" w:hAnsi="Times New Roman"/>
          <w:i/>
          <w:caps w:val="false"/>
          <w:smallCaps w:val="false"/>
          <w:sz w:val="20"/>
        </w:rPr>
        <w:t xml:space="preserve">s Discussion and Analysis of Financial Condition and Results of Operations </w:t>
      </w:r>
      <w:r>
        <w:rPr>
          <w:rFonts w:ascii="Times New Roman" w:hAnsi="Times New Roman"/>
          <w:caps w:val="false"/>
          <w:smallCaps w:val="false"/>
          <w:sz w:val="20"/>
        </w:rPr>
        <w:t>in our Annual Report on Form 10-K for the year ended December 31, 2025 (our "2025 Annual Report") for additional discussion concerning these critical accounting policies. Also, our significant accounting policies are described in greater detail in Note 2 – Basis of Presentation and Summary of Significant Accounting Policies to the audited consolidated financial statements included in our 2025 Annual Report and the consolidated financial statements in this Form 10-Q, and are essential to understanding Management’s Discussion and Analysis of Financial Condition and Results of Operations.</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140" w:right="0" w:firstLine="360"/>
        <w:jc w:val="left"/>
        <w:rPr>
          <w:rFonts w:ascii="Times New Roman" w:hAnsi="Times New Roman"/>
          <w:caps w:val="false"/>
          <w:smallCaps w:val="false"/>
          <w:sz w:val="20"/>
          <w:u w:val="single"/>
        </w:rPr>
      </w:pPr>
      <w:r>
        <w:rPr>
          <w:rFonts w:ascii="Times New Roman" w:hAnsi="Times New Roman"/>
          <w:caps w:val="false"/>
          <w:smallCaps w:val="false"/>
          <w:sz w:val="20"/>
          <w:u w:val="single"/>
        </w:rPr>
        <w:t>Allowance for Credit Losses ("ACL")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 sensitivity analysis of our ACL was performed as of June 30, 2026. Based on this sensitivity analysis, a 25% increase in the assumed prepayment speed on loans would result in a $1.2 million, or 2.7%, decrease to the ACL. A 25% decrease in the assumed prepayment speed on loans would result in a $794,000, or 1.8%, increase to the ACL. Additionally, a one percentage point increase in the unemployment rate would result in a $790,000, or 1.8%, increase to the ACL and a one percentage point decrease in the unemployment rate would result in a $1.3 million, or 2.9%, decrease to the ACL. Management reviews the results using the comparison scenario for sensitivity analysis and considers the results when evaluating the qualitative factor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color w:val="000000"/>
          <w:sz w:val="20"/>
        </w:rPr>
        <w:t>On a quarterly basis, we stress test our nine qualitative risk factors, which are categorized by lending policy, procedures and strategies; economic conditions; changes in nature and volume of the portfolio; credit and lending staff; problem loan trends; loan review results; collateral value; concentrations; and regulatory and business environment, by creating two scenarios, a Moderate Stress scenario a</w:t>
      </w:r>
      <w:r>
        <w:rPr>
          <w:rFonts w:ascii="Times New Roman" w:hAnsi="Times New Roman"/>
          <w:caps w:val="false"/>
          <w:smallCaps w:val="false"/>
          <w:sz w:val="20"/>
        </w:rPr>
        <w:t>nd a Major Stress scenario. In the Moderate Stress scenario, the status of the nine risk factors across all pooled loan types were set at “High-Moderate Risk” while in the Major Stress scenario, the status of the nine risk factors across all pooled loan types were set at “Major Risk.” Under the Moderate Stress scenario, the ACL would increase by $10.7 million, or 24.4%, as of June 30, 2026. Under the Major Stress scenario, the ACL would increase by $31.1 million, or 70.5%, as of June 30, 2026. Management compared the stress test results to our internal forecasts for earnings and capital and has concluded that the Company would remain well-capitalized under these stressed scenarios.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 xml:space="preserve">For additional information on the policies, methodologies and judgments used to determine the ACL, see Part II, </w:t>
      </w:r>
      <w:r>
        <w:rPr>
          <w:rFonts w:ascii="Times New Roman" w:hAnsi="Times New Roman"/>
          <w:i/>
          <w:caps w:val="false"/>
          <w:smallCaps w:val="false"/>
          <w:sz w:val="20"/>
        </w:rPr>
        <w:t>Item 7. Management's Discussion and Analysis of Financial Condition and Results of Operations — Critical Accounting Policies</w:t>
      </w:r>
      <w:r>
        <w:rPr>
          <w:rFonts w:ascii="Times New Roman" w:hAnsi="Times New Roman"/>
          <w:caps w:val="false"/>
          <w:smallCaps w:val="false"/>
          <w:sz w:val="20"/>
        </w:rPr>
        <w:t> in our 2025 Annual Report and Note 4 — Loans and Allowance for Credit Losses in the consolidated financial statements in this Form 10-Q.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RBB Bancorp is a bank holding company registered under the Bank Holding Company Act of 1956, as amended. RBB Bancorp’s principal business is to serve as the holding company for its wholly-owned subsidiaries, the Bank and RAM. RAM was formed in 2012 to hold and manage problem assets acquired in business combinations. There are no problem assets at RAM or activity in this subsidiary for the three months and six months ended June 30, 2026, or the year ended December 31, 2025. At June 30, 2026, we had total assets of $4.3 billion, gross loans held for investment ("HFI") of $3.3 billion, total deposits of $3.4 billion and total shareholders' equity of $535.2 million.  RBB’s common stock trades on the Nasdaq Global Select Market under the symbol “RBB.”</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Bank provides business-banking products and services predominantly to Asian-centric communities through 24 full service branches located in Los Angeles County, Orange County and Ventura County in California, Las Vegas (Nevada), New York City metropolitan areas, Chicago (Illinois), Edison (New Jersey), and Honolulu (Hawaii) and a loan production office located in the San Francisco Bay area. The products and services include commercial and investor real estate loans, business loans and lines of credit, Small Business Administration (“SBA”) 7A and 504 loans, mortgage loans, trade finance, and a full range of depository accounts, including specialized services such as remote deposit, E-banking, mobile banking, and treasury management services. Our primary source of revenue is providing loans to customers, who are predominately small and middle-market businesses and individuals.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operate as a minority depository institution ("MDI"), which is defined by the FDIC as a federally insured depository institution where 51% or more of the voting stock is owned by minority individuals or a majority of the board of directors is minority and the community that the institution serves is predominantly minority. A MDI is eligible to receive support from the FDIC and other federal regulatory agencies such as training, technical assistance, and review of proposed new deposit taking and lending programs, and the adoption of applicable policies and procedures governing such programs. We intend to maintain our MDI designation, as it is expected that at least 51% of our issued and outstanding shares of capital shall remain owned by minority individuals or a majority of the board of directors is minority and the community that the institution serves is predominantly minority. The MDI designation has been historically beneficial to us, and we continue to use the program for technical assistance.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8" w:name="Overview"/>
      <w:bookmarkEnd w:id="8"/>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following discussion provides information about the results of operations, financial condition, liquidity and capital resources of RBB and its wholly owned subsidiaries. This information is intended to facilitate an understanding and assessment of significant changes and trends related to our financial condition and results of operations. This discussion and analysis should be read in conjunction with our audited consolidated financial statements included in our 2025 Annual Report, and the unaudited consolidated financial statements and accompanying notes presented elsewhere in this Report. The financial results for the three and six months ended June 30, 2026 are not necessarily indicative of the results expected for the year ending December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reported net income of $10.1 million, or $0.59 diluted earnings per share, for the quarter ended June 30, 2026, compared to net income of $11.3 million, or $0.66 diluted earnings per share, for the quarter ended March 31, 2026 and $9.3 million, or $0.52 diluted earnings per share for the quarter ended June 30, 2025. Net income for the second quarter of 2026 reflected lower net interest income and lower noninterest income, offset partially by lower noninterest expense and lower income tax expense as compared to the prior quarter. Net income for the second quarter of 2026 compared to this same quarter last year reflected higher net interest income, lower credit costs, lower noninterest income and higher income tax expense.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There was no provision for credit losses for the second quarter of 2026 compared to a reversal of $200,000 for the first quarter of 2026. The second quarter of 2026 provision for credit losses reflected a provision for loan losses of $77,000 and a reversal of provision for unfunded loan commitments of $77,000 due to a lower volume of unfunded loan commitments. The second quarter of 2026 provision for credit losses was due mainly to the impact of net charge-offs, while portfolio credit quality trends, underlying economic forecast indicators, and changes in loan portfolio composition remained relatively stable. Net charge-offs in the second quarter of 2026 represented 0.01% of average loans on an annualized basis, compared to 0.00% for the first quarter of 2026 and 0.42% for the second quarter of 2025.</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Pre-tax pre-provision income totaled $14.1 million for the quarter ended June 30, 2026, compared to $15.5 million for the quarter ended March 31, 2026 and $15.3 million for the quarter ended June 30, 2025. Pre-tax pre-provision income totaled $29.6 million for the six months ended June 30, 2026, compared to $25.3 million for the six months ended June 30, 2025. The $4.3 million, or 17%, increase year over year was due to our ability to grow net interest income by 13% while being able to control noninterest expense, which decreased 2% year over year. For additional information on pre-tax pre-provision income, including a reconciliation of this measure to its most comparable GAAP measure, see "Non-GAAP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At June 30, 2026, total assets were $4.3 billion, an increase of $66.7 million from December 31, 2025. The increase in total assets was primarily the result of an increase of $70.7 million in cash and cash equivalents. A portion of this cash was held in anticipation of the $40.0 million redemption of subordinated notes on July 1, 2026. At June 30, 2026, total deposits were $3.4 billion, an increase of $40.2 million from December 31, 2025. The increase in total deposits was due to a $145.8 million increase in retail deposits offset by a $105.6 million decrease in wholesale deposits. The increase in retail deposits included a $234.9 million increase in nonmaturity interest-bearing deposits and a $154.2 million decrease in time deposits as a portion of the maturing time deposits moved into a high-yield savings product. Noninterest-bearing demand deposits increased $65.1 million to $591.6 million, or 17.5% of total deposits, at June 30, 2026, compared to $526.5 million, or 15.7% of total deposits, at December 31, 2025. The gross loan to deposit ratio was 97.6% at June 30, 2026, compared to 99.0% at December 31, 2025 and 101.5% at June 30, 2025.</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Nonperforming assets decreased $5.3 million to $43.6 million, or 1.02% of total assets, at June 30, 2026, from $48.8 million, or 1.16% of total assets, at March 31, 2026. The $5.3 million decrease in nonperforming assets was primarily attributable to a $20.8 million decrease in nonperforming loans partially offset by a $15.6 million increase in OREO (included in "accrued interest and other assets"). The increase in OREO was due to the transfer of one nonperforming construction loan to OREO, offset by the sale of the existing OREO properties.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Loans classified as substandard decreased by $11.0 million during the second quarter of 2026 due to transfers to OREO of $19.4 million and payoffs/paydowns totaling $4.2 million, partially offset by additions of $12.6 million. Loans classified as special mention decreased $4.5 million due to payoffs/paydowns of $3.8 million, downgrades to substandard-rated loans of $1.8 million, and upgrades to pass-rated loans of $453,000, partially offset by additions of $1.5 million.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As of June 30, 2026, the allowance for credit losses totaled $44.1 million, down from $44.2 million at March 31, 2026. The $83,000 decrease in the allowance for credit losses for the second quarter of 2026 was due to net charge-off activity. The allowance for loan losses ("ALL") as a percentage of loans HFI increased to 1.32% at June 30, 2026, compared to 1.31% at March 31, 2026. The ALL as a percentage of nonperforming loans HFI was 184% at June 30, 2026, and 98% at March 31, 2026.</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Total shareholders' equity was $535.2 million, or $31.51 book value per share, at June 30, 2026, compared to $531.1 million, or $31.10 book value per share, at March 31, 2026, and $517.7 million, or $29.25 book value per share at June 30, 2025. The increase in shareholders' equity for the second quarter of 2026 compared to the prior quarter was due mostly to net income of $10.1 million and stock-based compensation activity of $1.6 million, partially offset by common stock repurchases totaling $4.5 million and common stock cash dividends paid totaling $2.8 million. Tangible book value per share increased to $27.23 at June 30, 2026, up from $26.84 at March 31, 2026 and $26.42 at December 31, 2025. We repurchased 180,576 shares during the second quarter of 2026 at an average price of $24.65 per share. No shares were repurchased during the first quarter of 2026. For additional information on tangible book value per share, see "Non-GAAP Financial Measures."</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9" w:name="ANALYSIS_OF_RESULTS"/>
      <w:bookmarkEnd w:id="9"/>
      <w:r>
        <w:rPr>
          <w:rFonts w:ascii="Times New Roman" w:hAnsi="Times New Roman"/>
          <w:b/>
          <w:caps w:val="false"/>
          <w:smallCaps w:val="false"/>
          <w:sz w:val="20"/>
        </w:rPr>
        <w:t>ANALYSIS OF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Financial Performance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05"/>
        <w:gridCol w:w="60"/>
        <w:gridCol w:w="178"/>
        <w:gridCol w:w="840"/>
        <w:gridCol w:w="185"/>
        <w:gridCol w:w="60"/>
        <w:gridCol w:w="196"/>
        <w:gridCol w:w="928"/>
        <w:gridCol w:w="185"/>
        <w:gridCol w:w="60"/>
        <w:gridCol w:w="178"/>
        <w:gridCol w:w="840"/>
        <w:gridCol w:w="185"/>
        <w:gridCol w:w="60"/>
        <w:gridCol w:w="160"/>
        <w:gridCol w:w="895"/>
        <w:gridCol w:w="185"/>
        <w:gridCol w:w="60"/>
        <w:gridCol w:w="160"/>
        <w:gridCol w:w="895"/>
        <w:gridCol w:w="190"/>
      </w:tblGrid>
      <w:tr>
        <w:trPr/>
        <w:tc>
          <w:tcPr>
            <w:tcW w:w="37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65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5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19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 2026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2025</w:t>
            </w:r>
          </w:p>
        </w:tc>
        <w:tc>
          <w:tcPr>
            <w:tcW w:w="19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50" w:type="dxa"/>
            <w:gridSpan w:val="18"/>
            <w:tcBorders/>
            <w:shd w:fill="FFFFFF" w:val="clear"/>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(dollars in thousands, except per share data)</w:t>
            </w:r>
          </w:p>
        </w:tc>
        <w:tc>
          <w:tcPr>
            <w:tcW w:w="190" w:type="dxa"/>
            <w:tcBorders/>
            <w:shd w:fill="FFFFFF" w:val="clear"/>
            <w:vAlign w:val="center"/>
          </w:tcPr>
          <w:p>
            <w:pPr>
              <w:pStyle w:val="TableContents"/>
              <w:bidi w:val="0"/>
              <w:spacing w:before="0" w:after="283"/>
              <w:jc w:val="left"/>
              <w:rPr/>
            </w:pPr>
            <w:r>
              <w:rPr/>
              <w:t> </w:t>
            </w:r>
          </w:p>
        </w:tc>
      </w:tr>
      <w:tr>
        <w:trPr/>
        <w:tc>
          <w:tcPr>
            <w:tcW w:w="37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and dividend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57,159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56,803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54,205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113,962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106,541</w:t>
            </w:r>
          </w:p>
        </w:tc>
        <w:tc>
          <w:tcPr>
            <w:tcW w:w="190" w:type="dxa"/>
            <w:tcBorders/>
            <w:shd w:fill="CCEEFF" w:val="clear"/>
            <w:vAlign w:val="center"/>
          </w:tcPr>
          <w:p>
            <w:pPr>
              <w:pStyle w:val="TableContents"/>
              <w:bidi w:val="0"/>
              <w:spacing w:before="0" w:after="283"/>
              <w:jc w:val="left"/>
              <w:rPr/>
            </w:pPr>
            <w:r>
              <w:rPr/>
              <w:t> </w:t>
            </w:r>
          </w:p>
        </w:tc>
      </w:tr>
      <w:tr>
        <w:trPr/>
        <w:tc>
          <w:tcPr>
            <w:tcW w:w="37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27,073</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26,300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26,871</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53,373</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53,044</w:t>
            </w:r>
          </w:p>
        </w:tc>
        <w:tc>
          <w:tcPr>
            <w:tcW w:w="19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interest income</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8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30,086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9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30,503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8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27,334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60,589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53,497</w:t>
            </w:r>
          </w:p>
        </w:tc>
        <w:tc>
          <w:tcPr>
            <w:tcW w:w="190" w:type="dxa"/>
            <w:tcBorders/>
            <w:shd w:fill="CCEEFF" w:val="clear"/>
            <w:vAlign w:val="center"/>
          </w:tcPr>
          <w:p>
            <w:pPr>
              <w:pStyle w:val="TableContents"/>
              <w:bidi w:val="0"/>
              <w:spacing w:before="0" w:after="283"/>
              <w:jc w:val="left"/>
              <w:rPr/>
            </w:pPr>
            <w:r>
              <w:rPr/>
              <w:t> </w:t>
            </w:r>
          </w:p>
        </w:tc>
      </w:tr>
      <w:tr>
        <w:trPr/>
        <w:tc>
          <w:tcPr>
            <w:tcW w:w="37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(Reversal of)/provision for credit losses</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2,387</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9,133</w:t>
            </w:r>
          </w:p>
        </w:tc>
        <w:tc>
          <w:tcPr>
            <w:tcW w:w="19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7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interest income after (reversal of)/provision for credit losses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8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30,086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9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30,703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8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24,947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60,789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44,364</w:t>
            </w:r>
          </w:p>
        </w:tc>
        <w:tc>
          <w:tcPr>
            <w:tcW w:w="190" w:type="dxa"/>
            <w:tcBorders/>
            <w:shd w:fill="CCEEFF" w:val="clear"/>
            <w:vAlign w:val="center"/>
          </w:tcPr>
          <w:p>
            <w:pPr>
              <w:pStyle w:val="TableContents"/>
              <w:bidi w:val="0"/>
              <w:spacing w:before="0" w:after="283"/>
              <w:jc w:val="left"/>
              <w:rPr/>
            </w:pPr>
            <w:r>
              <w:rPr/>
              <w:t> </w:t>
            </w:r>
          </w:p>
        </w:tc>
      </w:tr>
      <w:tr>
        <w:trPr/>
        <w:tc>
          <w:tcPr>
            <w:tcW w:w="37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Noninterest income</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8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ind w:left="0" w:right="0" w:hanging="0"/>
              <w:jc w:val="left"/>
              <w:rPr/>
            </w:pPr>
            <w:r>
              <w:rPr/>
              <w:t> </w:t>
            </w:r>
          </w:p>
        </w:tc>
        <w:tc>
          <w:tcPr>
            <w:tcW w:w="9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8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8,478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7,269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10,773</w:t>
            </w:r>
          </w:p>
        </w:tc>
        <w:tc>
          <w:tcPr>
            <w:tcW w:w="190" w:type="dxa"/>
            <w:tcBorders/>
            <w:shd w:fill="FFFFFF" w:val="clear"/>
            <w:vAlign w:val="center"/>
          </w:tcPr>
          <w:p>
            <w:pPr>
              <w:pStyle w:val="TableContents"/>
              <w:bidi w:val="0"/>
              <w:spacing w:before="0" w:after="283"/>
              <w:jc w:val="left"/>
              <w:rPr/>
            </w:pPr>
            <w:r>
              <w:rPr/>
              <w:t> </w:t>
            </w:r>
          </w:p>
        </w:tc>
      </w:tr>
      <w:tr>
        <w:trPr/>
        <w:tc>
          <w:tcPr>
            <w:tcW w:w="37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Noninterest expense</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19,022</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19,258</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20,493</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38,280</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39,015</w:t>
            </w:r>
          </w:p>
        </w:tc>
        <w:tc>
          <w:tcPr>
            <w:tcW w:w="1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7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income taxes</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8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14,082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ind w:left="0" w:right="0" w:hanging="0"/>
              <w:jc w:val="left"/>
              <w:rPr/>
            </w:pPr>
            <w:r>
              <w:rPr/>
              <w:t> </w:t>
            </w:r>
          </w:p>
        </w:tc>
        <w:tc>
          <w:tcPr>
            <w:tcW w:w="9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15,696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8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12,932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29,778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16,122</w:t>
            </w:r>
          </w:p>
        </w:tc>
        <w:tc>
          <w:tcPr>
            <w:tcW w:w="190" w:type="dxa"/>
            <w:tcBorders/>
            <w:shd w:fill="FFFFFF" w:val="clear"/>
            <w:vAlign w:val="center"/>
          </w:tcPr>
          <w:p>
            <w:pPr>
              <w:pStyle w:val="TableContents"/>
              <w:bidi w:val="0"/>
              <w:spacing w:before="0" w:after="283"/>
              <w:jc w:val="left"/>
              <w:rPr/>
            </w:pPr>
            <w:r>
              <w:rPr/>
              <w:t> </w:t>
            </w:r>
          </w:p>
        </w:tc>
      </w:tr>
      <w:tr>
        <w:trPr/>
        <w:tc>
          <w:tcPr>
            <w:tcW w:w="37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3,942</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4,396</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3,599</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8,338</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4,499</w:t>
            </w:r>
          </w:p>
        </w:tc>
        <w:tc>
          <w:tcPr>
            <w:tcW w:w="1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7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10,140</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11,300</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9,333</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21,440</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11,623</w:t>
            </w:r>
          </w:p>
        </w:tc>
        <w:tc>
          <w:tcPr>
            <w:tcW w:w="19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3705" w:type="dxa"/>
            <w:tcBorders/>
            <w:shd w:fill="CCEEFF" w:val="clear"/>
            <w:vAlign w:val="center"/>
          </w:tcPr>
          <w:p>
            <w:pPr>
              <w:pStyle w:val="TableContents"/>
              <w:bidi w:val="0"/>
              <w:spacing w:lineRule="auto" w:line="288"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Pre-tax pre-provision income (1)</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14,082</w:t>
            </w:r>
          </w:p>
        </w:tc>
        <w:tc>
          <w:tcPr>
            <w:tcW w:w="185" w:type="dxa"/>
            <w:tcBorders>
              <w:bottom w:val="double" w:sz="6"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15,496</w:t>
            </w:r>
          </w:p>
        </w:tc>
        <w:tc>
          <w:tcPr>
            <w:tcW w:w="185" w:type="dxa"/>
            <w:tcBorders>
              <w:bottom w:val="double" w:sz="6"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15,319</w:t>
            </w:r>
          </w:p>
        </w:tc>
        <w:tc>
          <w:tcPr>
            <w:tcW w:w="185" w:type="dxa"/>
            <w:tcBorders>
              <w:bottom w:val="double" w:sz="6"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29,578</w:t>
            </w:r>
          </w:p>
        </w:tc>
        <w:tc>
          <w:tcPr>
            <w:tcW w:w="185" w:type="dxa"/>
            <w:tcBorders>
              <w:bottom w:val="double" w:sz="6"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25,255</w:t>
            </w:r>
          </w:p>
        </w:tc>
        <w:tc>
          <w:tcPr>
            <w:tcW w:w="190" w:type="dxa"/>
            <w:tcBorders>
              <w:bottom w:val="double" w:sz="6" w:space="0" w:color="000000"/>
            </w:tcBorders>
            <w:shd w:fill="CCEEFF" w:val="clear"/>
            <w:tcMar>
              <w:bottom w:w="28" w:type="dxa"/>
            </w:tcMar>
            <w:vAlign w:val="center"/>
          </w:tcPr>
          <w:p>
            <w:pPr>
              <w:pStyle w:val="TableContents"/>
              <w:bidi w:val="0"/>
              <w:spacing w:before="0" w:after="0"/>
              <w:jc w:val="left"/>
              <w:rPr/>
            </w:pPr>
            <w:r>
              <w:rPr/>
              <w:t> </w:t>
            </w:r>
          </w:p>
        </w:tc>
      </w:tr>
      <w:tr>
        <w:trPr/>
        <w:tc>
          <w:tcPr>
            <w:tcW w:w="37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r>
      <w:tr>
        <w:trPr/>
        <w:tc>
          <w:tcPr>
            <w:tcW w:w="370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 Data</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r>
      <w:tr>
        <w:trPr/>
        <w:tc>
          <w:tcPr>
            <w:tcW w:w="3705" w:type="dxa"/>
            <w:tcBorders/>
            <w:shd w:fill="FFFF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per common share (2):</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r>
      <w:tr>
        <w:trPr/>
        <w:tc>
          <w:tcPr>
            <w:tcW w:w="370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0.66</w:t>
            </w:r>
          </w:p>
        </w:tc>
        <w:tc>
          <w:tcPr>
            <w:tcW w:w="190" w:type="dxa"/>
            <w:tcBorders/>
            <w:shd w:fill="CCEEFF" w:val="clear"/>
            <w:vAlign w:val="center"/>
          </w:tcPr>
          <w:p>
            <w:pPr>
              <w:pStyle w:val="TableContents"/>
              <w:bidi w:val="0"/>
              <w:spacing w:before="0" w:after="283"/>
              <w:jc w:val="left"/>
              <w:rPr/>
            </w:pPr>
            <w:r>
              <w:rPr/>
              <w:t> </w:t>
            </w:r>
          </w:p>
        </w:tc>
      </w:tr>
      <w:tr>
        <w:trPr/>
        <w:tc>
          <w:tcPr>
            <w:tcW w:w="370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8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ind w:left="0" w:right="0" w:hanging="0"/>
              <w:jc w:val="left"/>
              <w:rPr/>
            </w:pPr>
            <w:r>
              <w:rPr/>
              <w:t> </w:t>
            </w:r>
          </w:p>
        </w:tc>
        <w:tc>
          <w:tcPr>
            <w:tcW w:w="9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8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0.65</w:t>
            </w:r>
          </w:p>
        </w:tc>
        <w:tc>
          <w:tcPr>
            <w:tcW w:w="190" w:type="dxa"/>
            <w:tcBorders/>
            <w:shd w:fill="FFFFFF" w:val="clear"/>
            <w:vAlign w:val="center"/>
          </w:tcPr>
          <w:p>
            <w:pPr>
              <w:pStyle w:val="TableContents"/>
              <w:bidi w:val="0"/>
              <w:spacing w:before="0" w:after="283"/>
              <w:jc w:val="left"/>
              <w:rPr/>
            </w:pPr>
            <w:r>
              <w:rPr/>
              <w:t> </w:t>
            </w:r>
          </w:p>
        </w:tc>
      </w:tr>
      <w:tr>
        <w:trPr/>
        <w:tc>
          <w:tcPr>
            <w:tcW w:w="370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Performance Metrics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r>
      <w:tr>
        <w:trPr/>
        <w:tc>
          <w:tcPr>
            <w:tcW w:w="37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Return on average assets, annualized</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8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ind w:left="0" w:right="0" w:hanging="0"/>
              <w:jc w:val="left"/>
              <w:rPr/>
            </w:pPr>
            <w:r>
              <w:rPr/>
              <w:t> </w:t>
            </w:r>
          </w:p>
        </w:tc>
        <w:tc>
          <w:tcPr>
            <w:tcW w:w="9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8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0.59</w:t>
            </w:r>
          </w:p>
        </w:tc>
        <w:tc>
          <w:tcPr>
            <w:tcW w:w="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Return on average shareholders’ equity, annualized</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8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9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8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4.57</w:t>
            </w:r>
          </w:p>
        </w:tc>
        <w:tc>
          <w:tcPr>
            <w:tcW w:w="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05" w:type="dxa"/>
            <w:tcBorders/>
            <w:shd w:fill="FFFF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Return on average tangible common equity, annualized (1)</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8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ind w:left="0" w:right="0" w:hanging="0"/>
              <w:jc w:val="left"/>
              <w:rPr/>
            </w:pPr>
            <w:r>
              <w:rPr/>
              <w:t> </w:t>
            </w:r>
          </w:p>
        </w:tc>
        <w:tc>
          <w:tcPr>
            <w:tcW w:w="9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8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w:t>
            </w:r>
          </w:p>
        </w:tc>
        <w:tc>
          <w:tcPr>
            <w:tcW w:w="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05" w:type="dxa"/>
            <w:tcBorders/>
            <w:shd w:fill="CCEE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Efficiency ratio (3)</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8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57.46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9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55.41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8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57.22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60.70</w:t>
            </w:r>
          </w:p>
        </w:tc>
        <w:tc>
          <w:tcPr>
            <w:tcW w:w="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05" w:type="dxa"/>
            <w:tcBorders/>
            <w:shd w:fill="FFFF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Tangible common equity to tangible assets (1)</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8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ind w:left="0" w:right="0" w:hanging="0"/>
              <w:jc w:val="left"/>
              <w:rPr/>
            </w:pPr>
            <w:r>
              <w:rPr/>
              <w:t> </w:t>
            </w:r>
          </w:p>
        </w:tc>
        <w:tc>
          <w:tcPr>
            <w:tcW w:w="9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8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11.07</w:t>
            </w:r>
          </w:p>
        </w:tc>
        <w:tc>
          <w:tcPr>
            <w:tcW w:w="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05" w:type="dxa"/>
            <w:tcBorders/>
            <w:shd w:fill="CCEE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Tangible book value per share (1)</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27.23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26.84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25.11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27.23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25.11</w:t>
            </w:r>
          </w:p>
        </w:tc>
        <w:tc>
          <w:tcPr>
            <w:tcW w:w="19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60"/>
        <w:gridCol w:w="36"/>
        <w:gridCol w:w="191"/>
        <w:gridCol w:w="9918"/>
      </w:tblGrid>
      <w:tr>
        <w:trPr/>
        <w:tc>
          <w:tcPr>
            <w:tcW w:w="60" w:type="dxa"/>
            <w:tcBorders/>
            <w:vAlign w:val="center"/>
          </w:tcPr>
          <w:p>
            <w:pPr>
              <w:pStyle w:val="TableContents"/>
              <w:bidi w:val="0"/>
              <w:spacing w:before="0" w:after="283"/>
              <w:jc w:val="left"/>
              <w:rPr/>
            </w:pPr>
            <w:r>
              <w:rPr/>
              <w:t> </w:t>
            </w:r>
          </w:p>
        </w:tc>
        <w:tc>
          <w:tcPr>
            <w:tcW w:w="36" w:type="dxa"/>
            <w:tcBorders/>
            <w:vAlign w:val="center"/>
          </w:tcPr>
          <w:p>
            <w:pPr>
              <w:pStyle w:val="TableContents"/>
              <w:bidi w:val="0"/>
              <w:spacing w:before="0" w:after="283"/>
              <w:ind w:left="0" w:right="0" w:hanging="180"/>
              <w:jc w:val="left"/>
              <w:rPr/>
            </w:pPr>
            <w:r>
              <w:rPr/>
              <w:t> </w:t>
            </w:r>
          </w:p>
        </w:tc>
        <w:tc>
          <w:tcPr>
            <w:tcW w:w="191" w:type="dxa"/>
            <w:tcBorders/>
            <w:vAlign w:val="center"/>
          </w:tcPr>
          <w:p>
            <w:pPr>
              <w:pStyle w:val="TableContents"/>
              <w:bidi w:val="0"/>
              <w:spacing w:before="0" w:after="283"/>
              <w:jc w:val="both"/>
              <w:rPr>
                <w:sz w:val="16"/>
              </w:rPr>
            </w:pPr>
            <w:r>
              <w:rPr>
                <w:sz w:val="16"/>
              </w:rPr>
              <w:t>(1)</w:t>
            </w:r>
          </w:p>
        </w:tc>
        <w:tc>
          <w:tcPr>
            <w:tcW w:w="9918" w:type="dxa"/>
            <w:tcBorders/>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Non-GAAP financial measure. See "Non-GAAP Financial Measures" for a reconciliation of this measure to their most comparable GAAP measure.</w:t>
            </w:r>
          </w:p>
        </w:tc>
      </w:tr>
      <w:tr>
        <w:trPr/>
        <w:tc>
          <w:tcPr>
            <w:tcW w:w="60" w:type="dxa"/>
            <w:tcBorders/>
            <w:vAlign w:val="center"/>
          </w:tcPr>
          <w:p>
            <w:pPr>
              <w:pStyle w:val="TableContents"/>
              <w:bidi w:val="0"/>
              <w:spacing w:before="0" w:after="283"/>
              <w:jc w:val="left"/>
              <w:rPr/>
            </w:pPr>
            <w:r>
              <w:rPr/>
              <w:t> </w:t>
            </w:r>
          </w:p>
        </w:tc>
        <w:tc>
          <w:tcPr>
            <w:tcW w:w="36" w:type="dxa"/>
            <w:tcBorders/>
            <w:vAlign w:val="center"/>
          </w:tcPr>
          <w:p>
            <w:pPr>
              <w:pStyle w:val="TableContents"/>
              <w:bidi w:val="0"/>
              <w:spacing w:before="0" w:after="283"/>
              <w:ind w:left="0" w:right="0" w:hanging="180"/>
              <w:jc w:val="left"/>
              <w:rPr/>
            </w:pPr>
            <w:r>
              <w:rPr/>
              <w:t> </w:t>
            </w:r>
          </w:p>
        </w:tc>
        <w:tc>
          <w:tcPr>
            <w:tcW w:w="191" w:type="dxa"/>
            <w:tcBorders/>
            <w:vAlign w:val="center"/>
          </w:tcPr>
          <w:p>
            <w:pPr>
              <w:pStyle w:val="TableContents"/>
              <w:bidi w:val="0"/>
              <w:spacing w:before="0" w:after="283"/>
              <w:jc w:val="both"/>
              <w:rPr>
                <w:sz w:val="16"/>
              </w:rPr>
            </w:pPr>
            <w:r>
              <w:rPr>
                <w:sz w:val="16"/>
              </w:rPr>
              <w:t>(2)</w:t>
            </w:r>
          </w:p>
        </w:tc>
        <w:tc>
          <w:tcPr>
            <w:tcW w:w="9918" w:type="dxa"/>
            <w:tcBorders/>
            <w:vAlign w:val="center"/>
          </w:tcPr>
          <w:p>
            <w:pPr>
              <w:pStyle w:val="TableContents"/>
              <w:bidi w:val="0"/>
              <w:spacing w:before="0" w:after="283"/>
              <w:jc w:val="left"/>
              <w:rPr>
                <w:rFonts w:ascii="Times New Roman" w:hAnsi="Times New Roman"/>
                <w:sz w:val="16"/>
              </w:rPr>
            </w:pPr>
            <w:r>
              <w:rPr>
                <w:rFonts w:ascii="Times New Roman" w:hAnsi="Times New Roman"/>
                <w:sz w:val="16"/>
              </w:rPr>
              <w:t>Basic earnings per share is calculated by dividing net income to common shareholders by the weighted average number of common shares outstanding. Diluted earnings per share is calculated by dividing net income by the weighted average number of shares adjusted for the dilutive effect of outstanding stock options and restricted stock units using the treasury stock method.</w:t>
            </w:r>
          </w:p>
        </w:tc>
      </w:tr>
      <w:tr>
        <w:trPr/>
        <w:tc>
          <w:tcPr>
            <w:tcW w:w="60" w:type="dxa"/>
            <w:tcBorders/>
            <w:vAlign w:val="center"/>
          </w:tcPr>
          <w:p>
            <w:pPr>
              <w:pStyle w:val="TableContents"/>
              <w:bidi w:val="0"/>
              <w:spacing w:before="0" w:after="283"/>
              <w:jc w:val="left"/>
              <w:rPr/>
            </w:pPr>
            <w:r>
              <w:rPr/>
              <w:t> </w:t>
            </w:r>
          </w:p>
        </w:tc>
        <w:tc>
          <w:tcPr>
            <w:tcW w:w="36" w:type="dxa"/>
            <w:tcBorders/>
            <w:vAlign w:val="center"/>
          </w:tcPr>
          <w:p>
            <w:pPr>
              <w:pStyle w:val="TableContents"/>
              <w:bidi w:val="0"/>
              <w:spacing w:before="0" w:after="283"/>
              <w:ind w:left="0" w:right="0" w:hanging="180"/>
              <w:jc w:val="left"/>
              <w:rPr/>
            </w:pPr>
            <w:r>
              <w:rPr/>
              <w:t> </w:t>
            </w:r>
          </w:p>
        </w:tc>
        <w:tc>
          <w:tcPr>
            <w:tcW w:w="191" w:type="dxa"/>
            <w:tcBorders/>
            <w:vAlign w:val="center"/>
          </w:tcPr>
          <w:p>
            <w:pPr>
              <w:pStyle w:val="TableContents"/>
              <w:bidi w:val="0"/>
              <w:spacing w:before="0" w:after="283"/>
              <w:jc w:val="both"/>
              <w:rPr>
                <w:sz w:val="16"/>
              </w:rPr>
            </w:pPr>
            <w:r>
              <w:rPr>
                <w:sz w:val="16"/>
              </w:rPr>
              <w:t>(3)</w:t>
            </w:r>
          </w:p>
        </w:tc>
        <w:tc>
          <w:tcPr>
            <w:tcW w:w="9918" w:type="dxa"/>
            <w:tcBorders/>
            <w:vAlign w:val="center"/>
          </w:tcPr>
          <w:p>
            <w:pPr>
              <w:pStyle w:val="TableContents"/>
              <w:bidi w:val="0"/>
              <w:spacing w:before="0" w:after="283"/>
              <w:jc w:val="left"/>
              <w:rPr>
                <w:rFonts w:ascii="Times New Roman" w:hAnsi="Times New Roman"/>
                <w:sz w:val="16"/>
              </w:rPr>
            </w:pPr>
            <w:r>
              <w:rPr>
                <w:rFonts w:ascii="Times New Roman" w:hAnsi="Times New Roman"/>
                <w:sz w:val="16"/>
              </w:rPr>
              <w:t>Ratio calculated by dividing noninterest expense by the sum of net interest income before (reversal of)/provision for credit losses and noninterest income.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Average Balance Sheet, Interest and Yield/Rate Analysis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principal component of our earnings is net interest income, which is the difference between the interest and fees earned on loans, cash and investments (interest-earning assets) and the interest paid on deposits and borrowed funds (interest-bearing liabilities). Net interest margin is net interest income as a percentage of average interest-earning assets for the period. The level of interest rates and the volume and mix of interest-earning assets and interest-bearing liabilities impact net interest income and net interest margin. The net interest spread is the yield on average interest-earning assets minus the cost of average interest-bearing liabilities.  Our net interest income, interest spread, and net interest margin are sensitive to general business and economic conditions. These conditions include short-term and long-term interest rates, inflation, monetary supply, and the strength of the international, national and state economies, in general, and more specifically, the local economies in which we conduct business. Our ability to manage net interest income during changing interest rate environments will have a significant impact on our overall performance. We manage net interest income through affecting changes in the mix of interest-earning assets as well as the mix of interest-bearing liabilities, changes in the level of interest-bearing liabilities in proportion to interest-earning assets, and in the growth and maturity of earning assets. For additional information see “</w:t>
      </w:r>
      <w:r>
        <w:rPr>
          <w:rFonts w:ascii="Times New Roman" w:hAnsi="Times New Roman"/>
          <w:i/>
          <w:caps w:val="false"/>
          <w:smallCaps w:val="false"/>
          <w:sz w:val="20"/>
        </w:rPr>
        <w:t>Capital Resources and Liquidity Management</w:t>
      </w:r>
      <w:r>
        <w:rPr>
          <w:rFonts w:ascii="Times New Roman" w:hAnsi="Times New Roman"/>
          <w:caps w:val="false"/>
          <w:smallCaps w:val="false"/>
          <w:sz w:val="20"/>
        </w:rPr>
        <w:t>” and Part I, </w:t>
      </w:r>
      <w:r>
        <w:rPr>
          <w:rFonts w:ascii="Times New Roman" w:hAnsi="Times New Roman"/>
          <w:i/>
          <w:caps w:val="false"/>
          <w:smallCaps w:val="false"/>
          <w:sz w:val="20"/>
        </w:rPr>
        <w:t>Item 3. "Quantitative and Qualitative Disclosures about Market Risk</w:t>
      </w:r>
      <w:r>
        <w:rPr>
          <w:rFonts w:ascii="Times New Roman" w:hAnsi="Times New Roman"/>
          <w:caps w:val="false"/>
          <w:smallCaps w:val="false"/>
          <w:sz w:val="20"/>
        </w:rPr>
        <w:t>" included in this Report.</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following tables present average balance sheet information, interest income, interest expense and the corresponding average yields earned and rates paid for the periods presented. The average balances are daily averages and, for loans, include both performing and nonperforming balances. Interest and fees on securities, net interest margin and net interest spread are included on a tax equivalent (“TE”) basis by adjusting interest income utilizing the federal statutory tax rate of 21% for 2026 and 2025.</w:t>
      </w:r>
    </w:p>
    <w:p>
      <w:pPr>
        <w:pStyle w:val="TextBody"/>
        <w:bidi w:val="0"/>
        <w:spacing w:before="0" w:after="0"/>
        <w:ind w:left="0" w:right="0" w:firstLine="540"/>
        <w:jc w:val="both"/>
        <w:rPr>
          <w:caps w:val="false"/>
          <w:smallCaps w:val="false"/>
        </w:rPr>
      </w:pPr>
      <w:r>
        <w:rPr>
          <w:caps w:val="false"/>
          <w:smallCaps w:val="false"/>
        </w:rPr>
        <w:t> </w:t>
      </w:r>
    </w:p>
    <w:tbl>
      <w:tblPr>
        <w:tblW w:w="10188" w:type="dxa"/>
        <w:jc w:val="left"/>
        <w:tblInd w:w="0" w:type="dxa"/>
        <w:tblLayout w:type="fixed"/>
        <w:tblCellMar>
          <w:top w:w="0" w:type="dxa"/>
          <w:left w:w="0" w:type="dxa"/>
          <w:bottom w:w="0" w:type="dxa"/>
          <w:right w:w="0" w:type="dxa"/>
        </w:tblCellMar>
      </w:tblPr>
      <w:tblGrid>
        <w:gridCol w:w="2930"/>
        <w:gridCol w:w="60"/>
        <w:gridCol w:w="110"/>
        <w:gridCol w:w="740"/>
        <w:gridCol w:w="60"/>
        <w:gridCol w:w="60"/>
        <w:gridCol w:w="110"/>
        <w:gridCol w:w="515"/>
        <w:gridCol w:w="60"/>
        <w:gridCol w:w="60"/>
        <w:gridCol w:w="73"/>
        <w:gridCol w:w="411"/>
        <w:gridCol w:w="155"/>
        <w:gridCol w:w="60"/>
        <w:gridCol w:w="110"/>
        <w:gridCol w:w="740"/>
        <w:gridCol w:w="60"/>
        <w:gridCol w:w="60"/>
        <w:gridCol w:w="110"/>
        <w:gridCol w:w="515"/>
        <w:gridCol w:w="60"/>
        <w:gridCol w:w="60"/>
        <w:gridCol w:w="60"/>
        <w:gridCol w:w="425"/>
        <w:gridCol w:w="155"/>
        <w:gridCol w:w="60"/>
        <w:gridCol w:w="110"/>
        <w:gridCol w:w="740"/>
        <w:gridCol w:w="60"/>
        <w:gridCol w:w="60"/>
        <w:gridCol w:w="110"/>
        <w:gridCol w:w="515"/>
        <w:gridCol w:w="60"/>
        <w:gridCol w:w="60"/>
        <w:gridCol w:w="73"/>
        <w:gridCol w:w="411"/>
        <w:gridCol w:w="170"/>
      </w:tblGrid>
      <w:tr>
        <w:trPr/>
        <w:tc>
          <w:tcPr>
            <w:tcW w:w="2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028" w:type="dxa"/>
            <w:gridSpan w:val="3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Three Months Ended</w:t>
            </w:r>
          </w:p>
        </w:tc>
        <w:tc>
          <w:tcPr>
            <w:tcW w:w="17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99"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June 30, 2026</w:t>
            </w:r>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0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March 31, 2026</w:t>
            </w:r>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99"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June 30, 2025</w:t>
            </w:r>
          </w:p>
        </w:tc>
        <w:tc>
          <w:tcPr>
            <w:tcW w:w="17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Interest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Yield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Interest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Yield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Interest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Yield /</w:t>
            </w:r>
          </w:p>
        </w:tc>
        <w:tc>
          <w:tcPr>
            <w:tcW w:w="170" w:type="dxa"/>
            <w:tcBorders/>
            <w:shd w:fill="FFFF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&amp; Fees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Rate</w:t>
            </w:r>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&amp; Fees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Rate</w:t>
            </w:r>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&amp; Fees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Rate</w:t>
            </w:r>
          </w:p>
        </w:tc>
        <w:tc>
          <w:tcPr>
            <w:tcW w:w="17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98" w:type="dxa"/>
            <w:gridSpan w:val="35"/>
            <w:tcBorders/>
            <w:shd w:fill="FFFFFF" w:val="clear"/>
            <w:vAlign w:val="center"/>
          </w:tcPr>
          <w:p>
            <w:pPr>
              <w:pStyle w:val="TableContents"/>
              <w:bidi w:val="0"/>
              <w:spacing w:before="0" w:after="0"/>
              <w:ind w:left="0" w:right="0" w:hanging="0"/>
              <w:jc w:val="center"/>
              <w:rPr>
                <w:rFonts w:ascii="Times New Roman;Times;serif" w:hAnsi="Times New Roman;Times;serif"/>
                <w:b/>
                <w:i/>
                <w:caps w:val="false"/>
                <w:smallCaps w:val="false"/>
                <w:sz w:val="16"/>
              </w:rPr>
            </w:pPr>
            <w:r>
              <w:rPr>
                <w:rFonts w:ascii="Times New Roman;Times;serif" w:hAnsi="Times New Roman;Times;serif"/>
                <w:b/>
                <w:i/>
                <w:caps w:val="false"/>
                <w:smallCaps w:val="false"/>
                <w:sz w:val="16"/>
              </w:rPr>
              <w:t>(dollars in thousands)</w:t>
            </w:r>
          </w:p>
        </w:tc>
      </w:tr>
      <w:tr>
        <w:trPr/>
        <w:tc>
          <w:tcPr>
            <w:tcW w:w="29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Interest-earning assets: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411"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41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and cash equivalents (1)</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194,256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41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4.16</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215,930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4.01</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163,838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41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4.85</w:t>
            </w:r>
          </w:p>
        </w:tc>
        <w:tc>
          <w:tcPr>
            <w:tcW w:w="17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93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FHLB Stock</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41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5.94</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20.55</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41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8.66</w:t>
            </w:r>
          </w:p>
        </w:tc>
        <w:tc>
          <w:tcPr>
            <w:tcW w:w="17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930"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Securities (2)</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Available for sale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419,191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41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4.06</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404,610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3.96</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399,414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4,189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41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4.21</w:t>
            </w:r>
          </w:p>
        </w:tc>
        <w:tc>
          <w:tcPr>
            <w:tcW w:w="17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9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Held to maturity</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4,182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41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3.64</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4,183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3.68</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41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3.83</w:t>
            </w:r>
          </w:p>
        </w:tc>
        <w:tc>
          <w:tcPr>
            <w:tcW w:w="17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930"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loans (3)</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3,315,864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50,663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41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6.13</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3,296,165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49,938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6.14</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3,171,570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47,687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41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6.03</w:t>
            </w:r>
          </w:p>
        </w:tc>
        <w:tc>
          <w:tcPr>
            <w:tcW w:w="17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93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interest-earning assets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3,948,493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16"/>
              </w:rPr>
            </w:pPr>
            <w:r>
              <w:rPr>
                <w:rFonts w:ascii="Times New Roman;Times;serif" w:hAnsi="Times New Roman;Times;serif"/>
                <w:sz w:val="16"/>
              </w:rPr>
              <w:t>57,183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5.81</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3,935,888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16"/>
              </w:rPr>
            </w:pPr>
            <w:r>
              <w:rPr>
                <w:rFonts w:ascii="Times New Roman;Times;serif" w:hAnsi="Times New Roman;Times;serif"/>
                <w:sz w:val="16"/>
              </w:rPr>
              <w:t>56,827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5.86</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3,754,850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16"/>
              </w:rPr>
            </w:pPr>
            <w:r>
              <w:rPr>
                <w:rFonts w:ascii="Times New Roman;Times;serif" w:hAnsi="Times New Roman;Times;serif"/>
                <w:sz w:val="16"/>
              </w:rPr>
              <w:t>54,228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5.79</w:t>
            </w:r>
          </w:p>
        </w:tc>
        <w:tc>
          <w:tcPr>
            <w:tcW w:w="17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93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Noninterest-earning assets</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262,546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41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268,010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254,029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411"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54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Total average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4,211,039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4,203,898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4,008,879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411"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41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Interest-bearing liabilities: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NOW</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83,681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41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2.29</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73,637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2.19</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66,755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41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2.21</w:t>
            </w:r>
          </w:p>
        </w:tc>
        <w:tc>
          <w:tcPr>
            <w:tcW w:w="17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9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Money market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556,084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4,189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41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3.02</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529,013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3,795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2.91</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482,669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3,774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41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3.14</w:t>
            </w:r>
          </w:p>
        </w:tc>
        <w:tc>
          <w:tcPr>
            <w:tcW w:w="17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9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Savings deposits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589,187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41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3.08</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441,123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2.90</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141,411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41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1.21</w:t>
            </w:r>
          </w:p>
        </w:tc>
        <w:tc>
          <w:tcPr>
            <w:tcW w:w="17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9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Time deposits, $250,000 and under</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837,026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7,322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41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3.51</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926,226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8,313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3.64</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996,249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9,768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41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3.93</w:t>
            </w:r>
          </w:p>
        </w:tc>
        <w:tc>
          <w:tcPr>
            <w:tcW w:w="17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9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Time deposits, greater than $250,000</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768,027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7,076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41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3.70</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845,786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7,908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3.79</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922,540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9,482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41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4.12</w:t>
            </w:r>
          </w:p>
        </w:tc>
        <w:tc>
          <w:tcPr>
            <w:tcW w:w="17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93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interest-bearing deposits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2,834,005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23,594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41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3.34</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2,815,785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23,568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3.39</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2,609,624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23,817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41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3.66</w:t>
            </w:r>
          </w:p>
        </w:tc>
        <w:tc>
          <w:tcPr>
            <w:tcW w:w="17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9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FHLB advances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116,813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41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3.61</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3.53</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159,286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41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3.58</w:t>
            </w:r>
          </w:p>
        </w:tc>
        <w:tc>
          <w:tcPr>
            <w:tcW w:w="17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9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Long-term debt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41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7.08</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119,945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4.36</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119,657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41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4.34</w:t>
            </w:r>
          </w:p>
        </w:tc>
        <w:tc>
          <w:tcPr>
            <w:tcW w:w="17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9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Subordinated debentures</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15,448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41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8.05</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15,394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8.17</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15,230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41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8.90</w:t>
            </w:r>
          </w:p>
        </w:tc>
        <w:tc>
          <w:tcPr>
            <w:tcW w:w="17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930" w:type="dxa"/>
            <w:tcBorders/>
            <w:shd w:fill="FFFFFF" w:val="clear"/>
            <w:vAlign w:val="center"/>
          </w:tcPr>
          <w:p>
            <w:pPr>
              <w:pStyle w:val="TableContents"/>
              <w:bidi w:val="0"/>
              <w:spacing w:before="0" w:after="0"/>
              <w:ind w:left="180" w:right="0" w:firstLine="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borrowings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252,261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3,479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5.53</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265,339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2,732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4.18</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294,173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3,054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4.16</w:t>
            </w:r>
          </w:p>
        </w:tc>
        <w:tc>
          <w:tcPr>
            <w:tcW w:w="17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930" w:type="dxa"/>
            <w:tcBorders/>
            <w:shd w:fill="CCEEFF" w:val="clear"/>
            <w:vAlign w:val="center"/>
          </w:tcPr>
          <w:p>
            <w:pPr>
              <w:pStyle w:val="TableContents"/>
              <w:bidi w:val="0"/>
              <w:spacing w:before="0" w:after="0"/>
              <w:ind w:left="360" w:right="0" w:firstLine="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interest-bearing liabilities</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3,086,266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27,073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41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3.52</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3,081,124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3.46</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2,903,797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26,871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41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3.71</w:t>
            </w:r>
          </w:p>
        </w:tc>
        <w:tc>
          <w:tcPr>
            <w:tcW w:w="17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9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Noninterest-bearing liabilities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Noninterest-bearing deposits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535,756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41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526,151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526,113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411"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Other noninterest-bearing liabilities</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56,608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67,241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65,278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noninterest-bearing liabilities</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592,364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41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593,392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591,391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411"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Shareholders' equity</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532,409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529,382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513,691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54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Total liabilities and shareholders'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4,211,039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41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4,203,898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4,008,879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411"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interest income/interest rate spreads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30,110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41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2.29</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30,527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2.40</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27,357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41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2.08</w:t>
            </w:r>
          </w:p>
        </w:tc>
        <w:tc>
          <w:tcPr>
            <w:tcW w:w="17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9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Net interest margin</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41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3.06</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3.15</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41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2.92</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cost of deposits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3,369,761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23,594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41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2.81</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3,341,936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23,568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2.86</w:t>
            </w:r>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3,135,737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23,817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41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3.05</w:t>
            </w:r>
          </w:p>
        </w:tc>
        <w:tc>
          <w:tcPr>
            <w:tcW w:w="17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9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cost of funds</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3,622,022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27,073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41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3.00</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3,607,275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2.96</w:t>
            </w:r>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3,429,910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26,871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41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3.14</w:t>
            </w:r>
          </w:p>
        </w:tc>
        <w:tc>
          <w:tcPr>
            <w:tcW w:w="17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11"/>
        <w:gridCol w:w="9934"/>
      </w:tblGrid>
      <w:tr>
        <w:trPr/>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sz w:val="16"/>
              </w:rPr>
            </w:pPr>
            <w:r>
              <w:rPr>
                <w:sz w:val="16"/>
              </w:rPr>
              <w:t>(1)</w:t>
            </w:r>
          </w:p>
        </w:tc>
        <w:tc>
          <w:tcPr>
            <w:tcW w:w="9934" w:type="dxa"/>
            <w:tcBorders/>
            <w:vAlign w:val="center"/>
          </w:tcPr>
          <w:p>
            <w:pPr>
              <w:pStyle w:val="TableContents"/>
              <w:bidi w:val="0"/>
              <w:spacing w:before="0" w:after="283"/>
              <w:jc w:val="left"/>
              <w:rPr>
                <w:sz w:val="16"/>
              </w:rPr>
            </w:pPr>
            <w:r>
              <w:rPr>
                <w:sz w:val="16"/>
              </w:rPr>
              <w:t>Includes income and average balances for interest-earning time deposits and other miscellaneous interest-earning assets.</w:t>
            </w:r>
          </w:p>
        </w:tc>
      </w:tr>
      <w:tr>
        <w:trPr/>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sz w:val="16"/>
              </w:rPr>
            </w:pPr>
            <w:r>
              <w:rPr>
                <w:sz w:val="16"/>
              </w:rPr>
              <w:t>(2)</w:t>
            </w:r>
          </w:p>
        </w:tc>
        <w:tc>
          <w:tcPr>
            <w:tcW w:w="9934" w:type="dxa"/>
            <w:tcBorders/>
            <w:vAlign w:val="center"/>
          </w:tcPr>
          <w:p>
            <w:pPr>
              <w:pStyle w:val="TableContents"/>
              <w:bidi w:val="0"/>
              <w:spacing w:before="0" w:after="283"/>
              <w:jc w:val="left"/>
              <w:rPr>
                <w:sz w:val="16"/>
              </w:rPr>
            </w:pPr>
            <w:r>
              <w:rPr>
                <w:sz w:val="16"/>
              </w:rPr>
              <w:t>Interest income and average rates for tax-exempt securities are presented on a tax-equivalent basis.</w:t>
            </w:r>
          </w:p>
        </w:tc>
      </w:tr>
      <w:tr>
        <w:trPr/>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sz w:val="16"/>
              </w:rPr>
            </w:pPr>
            <w:r>
              <w:rPr>
                <w:sz w:val="16"/>
              </w:rPr>
              <w:t>(3)</w:t>
            </w:r>
          </w:p>
        </w:tc>
        <w:tc>
          <w:tcPr>
            <w:tcW w:w="9934" w:type="dxa"/>
            <w:tcBorders/>
            <w:vAlign w:val="center"/>
          </w:tcPr>
          <w:p>
            <w:pPr>
              <w:pStyle w:val="TableContents"/>
              <w:bidi w:val="0"/>
              <w:spacing w:before="0" w:after="283"/>
              <w:jc w:val="left"/>
              <w:rPr>
                <w:sz w:val="16"/>
              </w:rPr>
            </w:pPr>
            <w:r>
              <w:rPr>
                <w:sz w:val="16"/>
              </w:rPr>
              <w:t>Average loan balances include nonaccrual loans. Interest income on loans includes the effects of discount accretion and net deferred loan origination fees and costs accounted for as yield adjustments.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tbl>
      <w:tblPr>
        <w:tblW w:w="9168" w:type="dxa"/>
        <w:jc w:val="left"/>
        <w:tblInd w:w="0" w:type="dxa"/>
        <w:tblLayout w:type="fixed"/>
        <w:tblCellMar>
          <w:top w:w="0" w:type="dxa"/>
          <w:left w:w="0" w:type="dxa"/>
          <w:bottom w:w="0" w:type="dxa"/>
          <w:right w:w="0" w:type="dxa"/>
        </w:tblCellMar>
      </w:tblPr>
      <w:tblGrid>
        <w:gridCol w:w="3470"/>
        <w:gridCol w:w="60"/>
        <w:gridCol w:w="125"/>
        <w:gridCol w:w="845"/>
        <w:gridCol w:w="60"/>
        <w:gridCol w:w="60"/>
        <w:gridCol w:w="125"/>
        <w:gridCol w:w="695"/>
        <w:gridCol w:w="60"/>
        <w:gridCol w:w="60"/>
        <w:gridCol w:w="63"/>
        <w:gridCol w:w="511"/>
        <w:gridCol w:w="185"/>
        <w:gridCol w:w="60"/>
        <w:gridCol w:w="125"/>
        <w:gridCol w:w="845"/>
        <w:gridCol w:w="60"/>
        <w:gridCol w:w="60"/>
        <w:gridCol w:w="125"/>
        <w:gridCol w:w="695"/>
        <w:gridCol w:w="60"/>
        <w:gridCol w:w="60"/>
        <w:gridCol w:w="78"/>
        <w:gridCol w:w="496"/>
        <w:gridCol w:w="185"/>
      </w:tblGrid>
      <w:tr>
        <w:trPr/>
        <w:tc>
          <w:tcPr>
            <w:tcW w:w="3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3"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04"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04"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Interest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7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Yield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Interest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7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Yield /</w:t>
            </w:r>
          </w:p>
        </w:tc>
        <w:tc>
          <w:tcPr>
            <w:tcW w:w="185" w:type="dxa"/>
            <w:tcBorders/>
            <w:shd w:fill="FFFF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&amp; Fees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Rate</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&amp; Fees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Rate</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3" w:type="dxa"/>
            <w:gridSpan w:val="2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(dollars in thousands)</w:t>
            </w:r>
          </w:p>
        </w:tc>
        <w:tc>
          <w:tcPr>
            <w:tcW w:w="185"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Interest-earning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(1)</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205,033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5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178,953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4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FHLB Stock</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5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4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70"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Securities: (2)</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Available for sale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411,941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5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394,822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4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Held to maturity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5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4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70"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loans (3)</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3,306,069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100,601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5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3,125,652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93,308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4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70"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interest-earning assets (2)</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3,942,225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114,010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5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3,719,535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106,591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4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7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noninterest-earning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265,263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0"/>
              <w:ind w:left="54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average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4,207,488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3,976,785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Interest-bearing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NOW</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78,687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5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64,004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4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Money market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542,623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5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473,109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4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Savings deposits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515,564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5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148,225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4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Time deposits, $250,000 and under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881,380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5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992,954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4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Time deposits, greater than $250,000</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806,692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5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893,832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4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7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interest-bearing deposits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2,824,946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5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2,572,124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47,369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4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FHLB advances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123,370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5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168,011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4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119,973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5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119,610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4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Subordinated debentures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5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4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70" w:type="dxa"/>
            <w:tcBorders/>
            <w:shd w:fill="FFFF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Total Borrowings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258,764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302,824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70" w:type="dxa"/>
            <w:tcBorders/>
            <w:shd w:fill="CCEEFF" w:val="clear"/>
            <w:vAlign w:val="center"/>
          </w:tcPr>
          <w:p>
            <w:pPr>
              <w:pStyle w:val="TableContents"/>
              <w:bidi w:val="0"/>
              <w:spacing w:before="0" w:after="0"/>
              <w:ind w:left="36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interest-bearing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3,083,710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5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2,874,948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4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Noninterest-bearing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Noninterest-bearing deposits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530,980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523,145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noninterest-bearing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61,895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65,711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noninterest-bearing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592,875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588,856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530,903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512,981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ind w:left="54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liabilities and shareholders'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4,207,488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3,976,785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interest income/interest rate spreads(2)</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60,637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5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53,547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4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interest margin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 of deposits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3,355,926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47,162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3,095,269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47,369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7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 of funds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3,614,690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53,373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3,398,093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53,044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60"/>
        <w:gridCol w:w="211"/>
        <w:gridCol w:w="9934"/>
      </w:tblGrid>
      <w:tr>
        <w:trPr/>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sz w:val="16"/>
              </w:rPr>
            </w:pPr>
            <w:r>
              <w:rPr>
                <w:sz w:val="16"/>
              </w:rPr>
              <w:t>(1)</w:t>
            </w:r>
          </w:p>
        </w:tc>
        <w:tc>
          <w:tcPr>
            <w:tcW w:w="9934" w:type="dxa"/>
            <w:tcBorders/>
            <w:vAlign w:val="center"/>
          </w:tcPr>
          <w:p>
            <w:pPr>
              <w:pStyle w:val="TableContents"/>
              <w:bidi w:val="0"/>
              <w:spacing w:before="0" w:after="283"/>
              <w:jc w:val="left"/>
              <w:rPr>
                <w:sz w:val="16"/>
              </w:rPr>
            </w:pPr>
            <w:r>
              <w:rPr>
                <w:sz w:val="16"/>
              </w:rPr>
              <w:t>Includes income and average balances for interest-earning time deposits and other miscellaneous interest-earning assets.</w:t>
            </w:r>
          </w:p>
        </w:tc>
      </w:tr>
      <w:tr>
        <w:trPr/>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sz w:val="16"/>
              </w:rPr>
            </w:pPr>
            <w:r>
              <w:rPr>
                <w:sz w:val="16"/>
              </w:rPr>
              <w:t>(2)</w:t>
            </w:r>
          </w:p>
        </w:tc>
        <w:tc>
          <w:tcPr>
            <w:tcW w:w="9934" w:type="dxa"/>
            <w:tcBorders/>
            <w:vAlign w:val="center"/>
          </w:tcPr>
          <w:p>
            <w:pPr>
              <w:pStyle w:val="TableContents"/>
              <w:bidi w:val="0"/>
              <w:spacing w:before="0" w:after="283"/>
              <w:jc w:val="left"/>
              <w:rPr>
                <w:sz w:val="16"/>
              </w:rPr>
            </w:pPr>
            <w:r>
              <w:rPr>
                <w:sz w:val="16"/>
              </w:rPr>
              <w:t>Interest income and average rates for tax-exempt securities are presented on a tax-equivalent basis.</w:t>
            </w:r>
          </w:p>
        </w:tc>
      </w:tr>
      <w:tr>
        <w:trPr/>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sz w:val="16"/>
              </w:rPr>
            </w:pPr>
            <w:r>
              <w:rPr>
                <w:sz w:val="16"/>
              </w:rPr>
              <w:t>(3)</w:t>
            </w:r>
          </w:p>
        </w:tc>
        <w:tc>
          <w:tcPr>
            <w:tcW w:w="9934" w:type="dxa"/>
            <w:tcBorders/>
            <w:vAlign w:val="center"/>
          </w:tcPr>
          <w:p>
            <w:pPr>
              <w:pStyle w:val="TableContents"/>
              <w:bidi w:val="0"/>
              <w:spacing w:before="0" w:after="283"/>
              <w:jc w:val="left"/>
              <w:rPr>
                <w:sz w:val="16"/>
              </w:rPr>
            </w:pPr>
            <w:r>
              <w:rPr>
                <w:sz w:val="16"/>
              </w:rPr>
              <w:t>Average loan balances include nonaccrual loans. Interest income on loans includes the effects of discount accretion and net deferred loan origination fees and costs accounted for as yield adjustments.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summarizes the extent to which changes in (1) interest rates and (2) volume of average interest-earning assets and average interest-bearing liabilities affected our net interest income for the periods presented. The total change for each category of interest-earning assets and interest-bearing liabilities is segmented into changes attributable to variations in volume and yield/rate. Changes that are not solely due to either volume or yield/rate are allocated proportionally based on the absolute value of the change related to average volume and average yield/rate.</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397"/>
        <w:gridCol w:w="60"/>
        <w:gridCol w:w="184"/>
        <w:gridCol w:w="581"/>
        <w:gridCol w:w="109"/>
        <w:gridCol w:w="82"/>
        <w:gridCol w:w="150"/>
        <w:gridCol w:w="663"/>
        <w:gridCol w:w="109"/>
        <w:gridCol w:w="82"/>
        <w:gridCol w:w="272"/>
        <w:gridCol w:w="581"/>
        <w:gridCol w:w="80"/>
        <w:gridCol w:w="60"/>
        <w:gridCol w:w="145"/>
        <w:gridCol w:w="643"/>
        <w:gridCol w:w="105"/>
        <w:gridCol w:w="79"/>
        <w:gridCol w:w="145"/>
        <w:gridCol w:w="643"/>
        <w:gridCol w:w="105"/>
        <w:gridCol w:w="79"/>
        <w:gridCol w:w="217"/>
        <w:gridCol w:w="643"/>
        <w:gridCol w:w="80"/>
        <w:gridCol w:w="60"/>
        <w:gridCol w:w="142"/>
        <w:gridCol w:w="628"/>
        <w:gridCol w:w="103"/>
        <w:gridCol w:w="77"/>
        <w:gridCol w:w="142"/>
        <w:gridCol w:w="628"/>
        <w:gridCol w:w="103"/>
        <w:gridCol w:w="77"/>
        <w:gridCol w:w="214"/>
        <w:gridCol w:w="628"/>
        <w:gridCol w:w="109"/>
      </w:tblGrid>
      <w:tr>
        <w:trPr/>
        <w:tc>
          <w:tcPr>
            <w:tcW w:w="13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13"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Three Months Ended June 30, 2026 compared with Three Months Ended March 31, 2026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04"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Three Months Ended June 30, 2026 compared with Three Months Ended June 30, 2025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42"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Six Months Ended June 30, 2026 compared with Six Months Ended June 30, 2025</w:t>
            </w:r>
          </w:p>
        </w:tc>
        <w:tc>
          <w:tcPr>
            <w:tcW w:w="10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3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Change due to:</w:t>
            </w:r>
          </w:p>
        </w:tc>
        <w:tc>
          <w:tcPr>
            <w:tcW w:w="10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27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581" w:type="dxa"/>
            <w:tcBorders>
              <w:bottom w:val="single" w:sz="2" w:space="0" w:color="000000"/>
            </w:tcBorders>
            <w:shd w:fill="FFFFFF" w:val="clear"/>
            <w:tcMar>
              <w:bottom w:w="28" w:type="dxa"/>
            </w:tcMar>
            <w:vAlign w:val="center"/>
          </w:tcPr>
          <w:p>
            <w:pPr>
              <w:pStyle w:val="TableContents"/>
              <w:bidi w:val="0"/>
              <w:spacing w:before="0" w:after="283"/>
              <w:jc w:val="center"/>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Change due to:</w:t>
            </w:r>
          </w:p>
        </w:tc>
        <w:tc>
          <w:tcPr>
            <w:tcW w:w="10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21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43" w:type="dxa"/>
            <w:tcBorders>
              <w:bottom w:val="single" w:sz="2" w:space="0" w:color="000000"/>
            </w:tcBorders>
            <w:shd w:fill="FFFFFF" w:val="clear"/>
            <w:tcMar>
              <w:bottom w:w="28" w:type="dxa"/>
            </w:tcMar>
            <w:vAlign w:val="center"/>
          </w:tcPr>
          <w:p>
            <w:pPr>
              <w:pStyle w:val="TableContents"/>
              <w:bidi w:val="0"/>
              <w:spacing w:before="0" w:after="283"/>
              <w:jc w:val="center"/>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Change due to:</w:t>
            </w:r>
          </w:p>
        </w:tc>
        <w:tc>
          <w:tcPr>
            <w:tcW w:w="10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28" w:type="dxa"/>
            <w:tcBorders>
              <w:bottom w:val="single" w:sz="2" w:space="0" w:color="000000"/>
            </w:tcBorders>
            <w:shd w:fill="FFFFFF" w:val="clear"/>
            <w:tcMar>
              <w:bottom w:w="28" w:type="dxa"/>
            </w:tcMar>
            <w:vAlign w:val="center"/>
          </w:tcPr>
          <w:p>
            <w:pPr>
              <w:pStyle w:val="TableContents"/>
              <w:bidi w:val="0"/>
              <w:spacing w:before="0" w:after="283"/>
              <w:jc w:val="center"/>
              <w:rPr/>
            </w:pPr>
            <w:r>
              <w:rPr/>
              <w:t> </w:t>
            </w:r>
          </w:p>
        </w:tc>
        <w:tc>
          <w:tcPr>
            <w:tcW w:w="10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3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Volume</w:t>
            </w:r>
          </w:p>
        </w:tc>
        <w:tc>
          <w:tcPr>
            <w:tcW w:w="10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81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Yield/Rate</w:t>
            </w:r>
          </w:p>
        </w:tc>
        <w:tc>
          <w:tcPr>
            <w:tcW w:w="10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8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Interest Variance</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Volume</w:t>
            </w:r>
          </w:p>
        </w:tc>
        <w:tc>
          <w:tcPr>
            <w:tcW w:w="10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7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Yield/Rate</w:t>
            </w:r>
          </w:p>
        </w:tc>
        <w:tc>
          <w:tcPr>
            <w:tcW w:w="10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Interest Variance</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Volume</w:t>
            </w:r>
          </w:p>
        </w:tc>
        <w:tc>
          <w:tcPr>
            <w:tcW w:w="10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Yield/Rate</w:t>
            </w:r>
          </w:p>
        </w:tc>
        <w:tc>
          <w:tcPr>
            <w:tcW w:w="10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8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Interest Variance</w:t>
            </w:r>
          </w:p>
        </w:tc>
        <w:tc>
          <w:tcPr>
            <w:tcW w:w="10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397"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Interest-earning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5757" w:type="dxa"/>
            <w:gridSpan w:val="2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(dollars in thousands)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center"/>
              <w:rPr/>
            </w:pPr>
            <w:r>
              <w:rPr/>
              <w:t> </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center"/>
              <w:rPr/>
            </w:pPr>
            <w:r>
              <w:rPr/>
              <w:t> </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center"/>
              <w:rPr/>
            </w:pPr>
            <w:r>
              <w:rPr/>
              <w:t> </w:t>
            </w:r>
          </w:p>
        </w:tc>
        <w:tc>
          <w:tcPr>
            <w:tcW w:w="109" w:type="dxa"/>
            <w:tcBorders/>
            <w:shd w:fill="FFFFFF" w:val="clear"/>
            <w:vAlign w:val="center"/>
          </w:tcPr>
          <w:p>
            <w:pPr>
              <w:pStyle w:val="TableContents"/>
              <w:bidi w:val="0"/>
              <w:spacing w:before="0" w:after="283"/>
              <w:jc w:val="left"/>
              <w:rPr/>
            </w:pPr>
            <w:r>
              <w:rPr/>
              <w:t> </w:t>
            </w:r>
          </w:p>
        </w:tc>
      </w:tr>
      <w:tr>
        <w:trPr/>
        <w:tc>
          <w:tcPr>
            <w:tcW w:w="1397"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and cash equivalents (1)</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8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(560</w:t>
            </w:r>
          </w:p>
        </w:tc>
        <w:tc>
          <w:tcPr>
            <w:tcW w:w="10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2" w:type="dxa"/>
            <w:tcBorders/>
            <w:shd w:fill="CCEEFF" w:val="clear"/>
            <w:vAlign w:val="center"/>
          </w:tcPr>
          <w:p>
            <w:pPr>
              <w:pStyle w:val="TableContents"/>
              <w:bidi w:val="0"/>
              <w:spacing w:before="0" w:after="283"/>
              <w:ind w:left="0" w:right="0" w:hanging="0"/>
              <w:jc w:val="left"/>
              <w:rPr/>
            </w:pPr>
            <w:r>
              <w:rPr/>
              <w:t> </w:t>
            </w:r>
          </w:p>
        </w:tc>
        <w:tc>
          <w:tcPr>
            <w:tcW w:w="15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439</w:t>
            </w:r>
          </w:p>
        </w:tc>
        <w:tc>
          <w:tcPr>
            <w:tcW w:w="10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272"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8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(121</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4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1,299</w:t>
            </w:r>
          </w:p>
        </w:tc>
        <w:tc>
          <w:tcPr>
            <w:tcW w:w="10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4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(1,264</w:t>
            </w:r>
          </w:p>
        </w:tc>
        <w:tc>
          <w:tcPr>
            <w:tcW w:w="10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9" w:type="dxa"/>
            <w:tcBorders/>
            <w:shd w:fill="CCEEFF" w:val="clear"/>
            <w:vAlign w:val="center"/>
          </w:tcPr>
          <w:p>
            <w:pPr>
              <w:pStyle w:val="TableContents"/>
              <w:bidi w:val="0"/>
              <w:spacing w:before="0" w:after="283"/>
              <w:ind w:left="0" w:right="0" w:hanging="0"/>
              <w:jc w:val="left"/>
              <w:rPr/>
            </w:pPr>
            <w:r>
              <w:rPr/>
              <w:t> </w:t>
            </w:r>
          </w:p>
        </w:tc>
        <w:tc>
          <w:tcPr>
            <w:tcW w:w="217"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4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2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1,287</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2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(1,366</w:t>
            </w:r>
          </w:p>
        </w:tc>
        <w:tc>
          <w:tcPr>
            <w:tcW w:w="103"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7" w:type="dxa"/>
            <w:tcBorders/>
            <w:shd w:fill="CCEEFF" w:val="clear"/>
            <w:vAlign w:val="center"/>
          </w:tcPr>
          <w:p>
            <w:pPr>
              <w:pStyle w:val="TableContents"/>
              <w:bidi w:val="0"/>
              <w:spacing w:before="0" w:after="283"/>
              <w:ind w:left="0" w:right="0" w:hanging="0"/>
              <w:jc w:val="left"/>
              <w:rPr/>
            </w:pPr>
            <w:r>
              <w:rPr/>
              <w:t> </w:t>
            </w:r>
          </w:p>
        </w:tc>
        <w:tc>
          <w:tcPr>
            <w:tcW w:w="214"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2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(79</w:t>
            </w:r>
          </w:p>
        </w:tc>
        <w:tc>
          <w:tcPr>
            <w:tcW w:w="10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39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FHLB Stock</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581" w:type="dxa"/>
            <w:tcBorders/>
            <w:shd w:fill="FFFFFF" w:val="clear"/>
            <w:vAlign w:val="center"/>
          </w:tcPr>
          <w:p>
            <w:pPr>
              <w:pStyle w:val="TableContents"/>
              <w:bidi w:val="0"/>
              <w:spacing w:before="0" w:after="283"/>
              <w:ind w:left="0" w:right="0" w:hanging="0"/>
              <w:jc w:val="right"/>
              <w:rPr/>
            </w:pPr>
            <w:r>
              <w:rPr/>
              <w:t>—</w:t>
            </w:r>
          </w:p>
        </w:tc>
        <w:tc>
          <w:tcPr>
            <w:tcW w:w="10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66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(538</w:t>
            </w:r>
          </w:p>
        </w:tc>
        <w:tc>
          <w:tcPr>
            <w:tcW w:w="10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2"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ind w:left="0" w:right="0" w:hanging="0"/>
              <w:jc w:val="left"/>
              <w:rPr/>
            </w:pPr>
            <w:r>
              <w:rPr/>
              <w:t> </w:t>
            </w:r>
          </w:p>
        </w:tc>
        <w:tc>
          <w:tcPr>
            <w:tcW w:w="58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(538</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643" w:type="dxa"/>
            <w:tcBorders/>
            <w:shd w:fill="FFFFFF" w:val="clear"/>
            <w:vAlign w:val="center"/>
          </w:tcPr>
          <w:p>
            <w:pPr>
              <w:pStyle w:val="TableContents"/>
              <w:bidi w:val="0"/>
              <w:spacing w:before="0" w:after="283"/>
              <w:ind w:left="0" w:right="0" w:hanging="0"/>
              <w:jc w:val="right"/>
              <w:rPr/>
            </w:pPr>
            <w:r>
              <w:rPr/>
              <w:t>—</w:t>
            </w:r>
          </w:p>
        </w:tc>
        <w:tc>
          <w:tcPr>
            <w:tcW w:w="10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64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(102</w:t>
            </w:r>
          </w:p>
        </w:tc>
        <w:tc>
          <w:tcPr>
            <w:tcW w:w="10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9"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64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(102</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628" w:type="dxa"/>
            <w:tcBorders/>
            <w:shd w:fill="FFFFFF" w:val="clear"/>
            <w:vAlign w:val="center"/>
          </w:tcPr>
          <w:p>
            <w:pPr>
              <w:pStyle w:val="TableContents"/>
              <w:bidi w:val="0"/>
              <w:spacing w:before="0" w:after="283"/>
              <w:ind w:left="0" w:right="0" w:hanging="0"/>
              <w:jc w:val="right"/>
              <w:rPr/>
            </w:pPr>
            <w:r>
              <w:rPr/>
              <w:t>—</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62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328</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62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328</w:t>
            </w:r>
          </w:p>
        </w:tc>
        <w:tc>
          <w:tcPr>
            <w:tcW w:w="109" w:type="dxa"/>
            <w:tcBorders/>
            <w:shd w:fill="FFFFFF" w:val="clear"/>
            <w:vAlign w:val="center"/>
          </w:tcPr>
          <w:p>
            <w:pPr>
              <w:pStyle w:val="TableContents"/>
              <w:bidi w:val="0"/>
              <w:spacing w:before="0" w:after="283"/>
              <w:jc w:val="left"/>
              <w:rPr/>
            </w:pPr>
            <w:r>
              <w:rPr/>
              <w:t> </w:t>
            </w:r>
          </w:p>
        </w:tc>
      </w:tr>
      <w:tr>
        <w:trPr/>
        <w:tc>
          <w:tcPr>
            <w:tcW w:w="1397"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Securities: (2)</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581"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663"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58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r>
      <w:tr>
        <w:trPr/>
        <w:tc>
          <w:tcPr>
            <w:tcW w:w="139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Available for sale</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58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170</w:t>
            </w:r>
          </w:p>
        </w:tc>
        <w:tc>
          <w:tcPr>
            <w:tcW w:w="10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66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120</w:t>
            </w:r>
          </w:p>
        </w:tc>
        <w:tc>
          <w:tcPr>
            <w:tcW w:w="10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ind w:left="0" w:right="0" w:hanging="0"/>
              <w:jc w:val="left"/>
              <w:rPr/>
            </w:pPr>
            <w:r>
              <w:rPr/>
              <w:t> </w:t>
            </w:r>
          </w:p>
        </w:tc>
        <w:tc>
          <w:tcPr>
            <w:tcW w:w="58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64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729</w:t>
            </w:r>
          </w:p>
        </w:tc>
        <w:tc>
          <w:tcPr>
            <w:tcW w:w="10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64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(673</w:t>
            </w:r>
          </w:p>
        </w:tc>
        <w:tc>
          <w:tcPr>
            <w:tcW w:w="10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9"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64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62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778</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62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(880</w:t>
            </w:r>
          </w:p>
        </w:tc>
        <w:tc>
          <w:tcPr>
            <w:tcW w:w="103"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7"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62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(102</w:t>
            </w:r>
          </w:p>
        </w:tc>
        <w:tc>
          <w:tcPr>
            <w:tcW w:w="10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39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Held to maturity</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581" w:type="dxa"/>
            <w:tcBorders/>
            <w:shd w:fill="CCEEFF" w:val="clear"/>
            <w:vAlign w:val="center"/>
          </w:tcPr>
          <w:p>
            <w:pPr>
              <w:pStyle w:val="TableContents"/>
              <w:bidi w:val="0"/>
              <w:spacing w:before="0" w:after="283"/>
              <w:ind w:left="0" w:right="0" w:hanging="0"/>
              <w:jc w:val="right"/>
              <w:rPr/>
            </w:pPr>
            <w:r>
              <w:rPr/>
              <w:t>—</w:t>
            </w:r>
          </w:p>
        </w:tc>
        <w:tc>
          <w:tcPr>
            <w:tcW w:w="10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663" w:type="dxa"/>
            <w:tcBorders/>
            <w:shd w:fill="CCEEFF" w:val="clear"/>
            <w:vAlign w:val="center"/>
          </w:tcPr>
          <w:p>
            <w:pPr>
              <w:pStyle w:val="TableContents"/>
              <w:bidi w:val="0"/>
              <w:spacing w:before="0" w:after="283"/>
              <w:ind w:left="0" w:right="0" w:hanging="0"/>
              <w:jc w:val="right"/>
              <w:rPr/>
            </w:pPr>
            <w:r>
              <w:rPr/>
              <w:t>—</w:t>
            </w:r>
          </w:p>
        </w:tc>
        <w:tc>
          <w:tcPr>
            <w:tcW w:w="10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ind w:left="0" w:right="0" w:hanging="0"/>
              <w:jc w:val="left"/>
              <w:rPr/>
            </w:pPr>
            <w:r>
              <w:rPr/>
              <w:t> </w:t>
            </w:r>
          </w:p>
        </w:tc>
        <w:tc>
          <w:tcPr>
            <w:tcW w:w="58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64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w:t>
            </w:r>
          </w:p>
        </w:tc>
        <w:tc>
          <w:tcPr>
            <w:tcW w:w="10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9"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64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w:t>
            </w:r>
          </w:p>
        </w:tc>
        <w:tc>
          <w:tcPr>
            <w:tcW w:w="10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9"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ind w:left="0" w:right="0" w:hanging="0"/>
              <w:jc w:val="left"/>
              <w:rPr/>
            </w:pPr>
            <w:r>
              <w:rPr/>
              <w:t> </w:t>
            </w:r>
          </w:p>
        </w:tc>
        <w:tc>
          <w:tcPr>
            <w:tcW w:w="64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2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w:t>
            </w:r>
          </w:p>
        </w:tc>
        <w:tc>
          <w:tcPr>
            <w:tcW w:w="103"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7"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2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w:t>
            </w:r>
          </w:p>
        </w:tc>
        <w:tc>
          <w:tcPr>
            <w:tcW w:w="103"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7"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62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w:t>
            </w:r>
          </w:p>
        </w:tc>
        <w:tc>
          <w:tcPr>
            <w:tcW w:w="10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397"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loans (3)</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1,090</w:t>
            </w:r>
          </w:p>
        </w:tc>
        <w:tc>
          <w:tcPr>
            <w:tcW w:w="10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(365</w:t>
            </w:r>
          </w:p>
        </w:tc>
        <w:tc>
          <w:tcPr>
            <w:tcW w:w="109"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2" w:type="dxa"/>
            <w:tcBorders/>
            <w:shd w:fill="FFFFFF" w:val="clear"/>
            <w:vAlign w:val="center"/>
          </w:tcPr>
          <w:p>
            <w:pPr>
              <w:pStyle w:val="TableContents"/>
              <w:bidi w:val="0"/>
              <w:spacing w:before="0" w:after="283"/>
              <w:jc w:val="left"/>
              <w:rPr/>
            </w:pPr>
            <w:r>
              <w:rPr/>
              <w:t> </w:t>
            </w:r>
          </w:p>
        </w:tc>
        <w:tc>
          <w:tcPr>
            <w:tcW w:w="2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2,181</w:t>
            </w:r>
          </w:p>
        </w:tc>
        <w:tc>
          <w:tcPr>
            <w:tcW w:w="10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795</w:t>
            </w:r>
          </w:p>
        </w:tc>
        <w:tc>
          <w:tcPr>
            <w:tcW w:w="10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21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2,976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5,342</w:t>
            </w:r>
          </w:p>
        </w:tc>
        <w:tc>
          <w:tcPr>
            <w:tcW w:w="10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1,951</w:t>
            </w:r>
          </w:p>
        </w:tc>
        <w:tc>
          <w:tcPr>
            <w:tcW w:w="10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7,293</w:t>
            </w:r>
          </w:p>
        </w:tc>
        <w:tc>
          <w:tcPr>
            <w:tcW w:w="10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397"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interest-earning assets (2)</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700</w:t>
            </w:r>
          </w:p>
        </w:tc>
        <w:tc>
          <w:tcPr>
            <w:tcW w:w="10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(344</w:t>
            </w:r>
          </w:p>
        </w:tc>
        <w:tc>
          <w:tcPr>
            <w:tcW w:w="10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2" w:type="dxa"/>
            <w:tcBorders/>
            <w:shd w:fill="CCEEFF" w:val="clear"/>
            <w:vAlign w:val="center"/>
          </w:tcPr>
          <w:p>
            <w:pPr>
              <w:pStyle w:val="TableContents"/>
              <w:bidi w:val="0"/>
              <w:spacing w:before="0" w:after="283"/>
              <w:ind w:left="0" w:right="0" w:hanging="0"/>
              <w:jc w:val="left"/>
              <w:rPr/>
            </w:pPr>
            <w:r>
              <w:rPr/>
              <w:t> </w:t>
            </w:r>
          </w:p>
        </w:tc>
        <w:tc>
          <w:tcPr>
            <w:tcW w:w="2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4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4,201</w:t>
            </w:r>
          </w:p>
        </w:tc>
        <w:tc>
          <w:tcPr>
            <w:tcW w:w="10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4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(1,246</w:t>
            </w:r>
          </w:p>
        </w:tc>
        <w:tc>
          <w:tcPr>
            <w:tcW w:w="10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9" w:type="dxa"/>
            <w:tcBorders/>
            <w:shd w:fill="CCEEFF" w:val="clear"/>
            <w:vAlign w:val="center"/>
          </w:tcPr>
          <w:p>
            <w:pPr>
              <w:pStyle w:val="TableContents"/>
              <w:bidi w:val="0"/>
              <w:spacing w:before="0" w:after="283"/>
              <w:ind w:left="0" w:right="0" w:hanging="0"/>
              <w:jc w:val="left"/>
              <w:rPr/>
            </w:pPr>
            <w:r>
              <w:rPr/>
              <w:t> </w:t>
            </w:r>
          </w:p>
        </w:tc>
        <w:tc>
          <w:tcPr>
            <w:tcW w:w="21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4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2,955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7,389</w:t>
            </w:r>
          </w:p>
        </w:tc>
        <w:tc>
          <w:tcPr>
            <w:tcW w:w="10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w:t>
            </w:r>
          </w:p>
        </w:tc>
        <w:tc>
          <w:tcPr>
            <w:tcW w:w="10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7,419</w:t>
            </w:r>
          </w:p>
        </w:tc>
        <w:tc>
          <w:tcPr>
            <w:tcW w:w="10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13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643"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643"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64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628"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r>
      <w:tr>
        <w:trPr/>
        <w:tc>
          <w:tcPr>
            <w:tcW w:w="139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Interest-bearing liabilities: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581"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663"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58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r>
      <w:tr>
        <w:trPr/>
        <w:tc>
          <w:tcPr>
            <w:tcW w:w="139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NOW</w:t>
            </w:r>
          </w:p>
        </w:tc>
        <w:tc>
          <w:tcPr>
            <w:tcW w:w="60" w:type="dxa"/>
            <w:tcBorders/>
            <w:shd w:fill="FFFFFF" w:val="clear"/>
            <w:vAlign w:val="center"/>
          </w:tcPr>
          <w:p>
            <w:pPr>
              <w:pStyle w:val="TableContents"/>
              <w:bidi w:val="0"/>
              <w:spacing w:before="0" w:after="283"/>
              <w:ind w:left="0" w:right="0" w:hanging="0"/>
              <w:jc w:val="left"/>
              <w:rPr/>
            </w:pPr>
            <w:r>
              <w:rPr/>
              <w:t> </w:t>
            </w:r>
          </w:p>
        </w:tc>
        <w:tc>
          <w:tcPr>
            <w:tcW w:w="184"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8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60</w:t>
            </w:r>
          </w:p>
        </w:tc>
        <w:tc>
          <w:tcPr>
            <w:tcW w:w="10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15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w:t>
            </w:r>
          </w:p>
        </w:tc>
        <w:tc>
          <w:tcPr>
            <w:tcW w:w="10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272"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8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4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96</w:t>
            </w:r>
          </w:p>
        </w:tc>
        <w:tc>
          <w:tcPr>
            <w:tcW w:w="10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145"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4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w:t>
            </w:r>
          </w:p>
        </w:tc>
        <w:tc>
          <w:tcPr>
            <w:tcW w:w="10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217"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4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2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157</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42"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2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214"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2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188</w:t>
            </w:r>
          </w:p>
        </w:tc>
        <w:tc>
          <w:tcPr>
            <w:tcW w:w="109" w:type="dxa"/>
            <w:tcBorders/>
            <w:shd w:fill="FFFFFF" w:val="clear"/>
            <w:vAlign w:val="center"/>
          </w:tcPr>
          <w:p>
            <w:pPr>
              <w:pStyle w:val="TableContents"/>
              <w:bidi w:val="0"/>
              <w:spacing w:before="0" w:after="283"/>
              <w:jc w:val="left"/>
              <w:rPr/>
            </w:pPr>
            <w:r>
              <w:rPr/>
              <w:t> </w:t>
            </w:r>
          </w:p>
        </w:tc>
      </w:tr>
      <w:tr>
        <w:trPr/>
        <w:tc>
          <w:tcPr>
            <w:tcW w:w="139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Money market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58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227</w:t>
            </w:r>
          </w:p>
        </w:tc>
        <w:tc>
          <w:tcPr>
            <w:tcW w:w="10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66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167</w:t>
            </w:r>
          </w:p>
        </w:tc>
        <w:tc>
          <w:tcPr>
            <w:tcW w:w="10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ind w:left="0" w:right="0" w:hanging="0"/>
              <w:jc w:val="left"/>
              <w:rPr/>
            </w:pPr>
            <w:r>
              <w:rPr/>
              <w:t> </w:t>
            </w:r>
          </w:p>
        </w:tc>
        <w:tc>
          <w:tcPr>
            <w:tcW w:w="58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64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1,257</w:t>
            </w:r>
          </w:p>
        </w:tc>
        <w:tc>
          <w:tcPr>
            <w:tcW w:w="10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64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(842</w:t>
            </w:r>
          </w:p>
        </w:tc>
        <w:tc>
          <w:tcPr>
            <w:tcW w:w="10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9"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ind w:left="0" w:right="0" w:hanging="0"/>
              <w:jc w:val="left"/>
              <w:rPr/>
            </w:pPr>
            <w:r>
              <w:rPr/>
              <w:t> </w:t>
            </w:r>
          </w:p>
        </w:tc>
        <w:tc>
          <w:tcPr>
            <w:tcW w:w="64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2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1,755</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2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(1,171</w:t>
            </w:r>
          </w:p>
        </w:tc>
        <w:tc>
          <w:tcPr>
            <w:tcW w:w="103"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7"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62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584</w:t>
            </w:r>
          </w:p>
        </w:tc>
        <w:tc>
          <w:tcPr>
            <w:tcW w:w="109" w:type="dxa"/>
            <w:tcBorders/>
            <w:shd w:fill="CCEEFF" w:val="clear"/>
            <w:vAlign w:val="center"/>
          </w:tcPr>
          <w:p>
            <w:pPr>
              <w:pStyle w:val="TableContents"/>
              <w:bidi w:val="0"/>
              <w:spacing w:before="0" w:after="283"/>
              <w:jc w:val="left"/>
              <w:rPr/>
            </w:pPr>
            <w:r>
              <w:rPr/>
              <w:t> </w:t>
            </w:r>
          </w:p>
        </w:tc>
      </w:tr>
      <w:tr>
        <w:trPr/>
        <w:tc>
          <w:tcPr>
            <w:tcW w:w="139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Savings deposits</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58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1,160</w:t>
            </w:r>
          </w:p>
        </w:tc>
        <w:tc>
          <w:tcPr>
            <w:tcW w:w="10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66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215</w:t>
            </w:r>
          </w:p>
        </w:tc>
        <w:tc>
          <w:tcPr>
            <w:tcW w:w="10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ind w:left="0" w:right="0" w:hanging="0"/>
              <w:jc w:val="left"/>
              <w:rPr/>
            </w:pPr>
            <w:r>
              <w:rPr/>
              <w:t> </w:t>
            </w:r>
          </w:p>
        </w:tc>
        <w:tc>
          <w:tcPr>
            <w:tcW w:w="58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64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2,758</w:t>
            </w:r>
          </w:p>
        </w:tc>
        <w:tc>
          <w:tcPr>
            <w:tcW w:w="10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64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1,346</w:t>
            </w:r>
          </w:p>
        </w:tc>
        <w:tc>
          <w:tcPr>
            <w:tcW w:w="10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64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4,104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62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2,346</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62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4,391</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62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6,737</w:t>
            </w:r>
          </w:p>
        </w:tc>
        <w:tc>
          <w:tcPr>
            <w:tcW w:w="109" w:type="dxa"/>
            <w:tcBorders/>
            <w:shd w:fill="FFFFFF" w:val="clear"/>
            <w:vAlign w:val="center"/>
          </w:tcPr>
          <w:p>
            <w:pPr>
              <w:pStyle w:val="TableContents"/>
              <w:bidi w:val="0"/>
              <w:spacing w:before="0" w:after="283"/>
              <w:jc w:val="left"/>
              <w:rPr/>
            </w:pPr>
            <w:r>
              <w:rPr/>
              <w:t> </w:t>
            </w:r>
          </w:p>
        </w:tc>
      </w:tr>
      <w:tr>
        <w:trPr/>
        <w:tc>
          <w:tcPr>
            <w:tcW w:w="139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Time deposits, less than $250,000</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58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(723</w:t>
            </w:r>
          </w:p>
        </w:tc>
        <w:tc>
          <w:tcPr>
            <w:tcW w:w="10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66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(268</w:t>
            </w:r>
          </w:p>
        </w:tc>
        <w:tc>
          <w:tcPr>
            <w:tcW w:w="10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2"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ind w:left="0" w:right="0" w:hanging="0"/>
              <w:jc w:val="left"/>
              <w:rPr/>
            </w:pPr>
            <w:r>
              <w:rPr/>
              <w:t> </w:t>
            </w:r>
          </w:p>
        </w:tc>
        <w:tc>
          <w:tcPr>
            <w:tcW w:w="58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(991</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64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(1,466</w:t>
            </w:r>
          </w:p>
        </w:tc>
        <w:tc>
          <w:tcPr>
            <w:tcW w:w="10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9"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64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(980</w:t>
            </w:r>
          </w:p>
        </w:tc>
        <w:tc>
          <w:tcPr>
            <w:tcW w:w="10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9"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ind w:left="0" w:right="0" w:hanging="0"/>
              <w:jc w:val="left"/>
              <w:rPr/>
            </w:pPr>
            <w:r>
              <w:rPr/>
              <w:t> </w:t>
            </w:r>
          </w:p>
        </w:tc>
        <w:tc>
          <w:tcPr>
            <w:tcW w:w="64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(2,446</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2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(2,242</w:t>
            </w:r>
          </w:p>
        </w:tc>
        <w:tc>
          <w:tcPr>
            <w:tcW w:w="103"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7"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2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(1,939</w:t>
            </w:r>
          </w:p>
        </w:tc>
        <w:tc>
          <w:tcPr>
            <w:tcW w:w="103"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7"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62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(4,181</w:t>
            </w:r>
          </w:p>
        </w:tc>
        <w:tc>
          <w:tcPr>
            <w:tcW w:w="10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39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Time deposits, $250,000 and over</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(661</w:t>
            </w:r>
          </w:p>
        </w:tc>
        <w:tc>
          <w:tcPr>
            <w:tcW w:w="109"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2" w:type="dxa"/>
            <w:tcBorders/>
            <w:shd w:fill="FFFFFF" w:val="clear"/>
            <w:vAlign w:val="center"/>
          </w:tcPr>
          <w:p>
            <w:pPr>
              <w:pStyle w:val="TableContents"/>
              <w:bidi w:val="0"/>
              <w:spacing w:before="0" w:after="283"/>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(171</w:t>
            </w:r>
          </w:p>
        </w:tc>
        <w:tc>
          <w:tcPr>
            <w:tcW w:w="109"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2" w:type="dxa"/>
            <w:tcBorders/>
            <w:shd w:fill="FFFFFF" w:val="clear"/>
            <w:vAlign w:val="center"/>
          </w:tcPr>
          <w:p>
            <w:pPr>
              <w:pStyle w:val="TableContents"/>
              <w:bidi w:val="0"/>
              <w:spacing w:before="0" w:after="283"/>
              <w:jc w:val="left"/>
              <w:rPr/>
            </w:pPr>
            <w:r>
              <w:rPr/>
              <w:t> </w:t>
            </w:r>
          </w:p>
        </w:tc>
        <w:tc>
          <w:tcPr>
            <w:tcW w:w="2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(832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(1,496</w:t>
            </w:r>
          </w:p>
        </w:tc>
        <w:tc>
          <w:tcPr>
            <w:tcW w:w="10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9"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(910</w:t>
            </w:r>
          </w:p>
        </w:tc>
        <w:tc>
          <w:tcPr>
            <w:tcW w:w="10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9" w:type="dxa"/>
            <w:tcBorders/>
            <w:shd w:fill="FFFFFF" w:val="clear"/>
            <w:vAlign w:val="center"/>
          </w:tcPr>
          <w:p>
            <w:pPr>
              <w:pStyle w:val="TableContents"/>
              <w:bidi w:val="0"/>
              <w:spacing w:before="0" w:after="283"/>
              <w:jc w:val="left"/>
              <w:rPr/>
            </w:pPr>
            <w:r>
              <w:rPr/>
              <w:t> </w:t>
            </w:r>
          </w:p>
        </w:tc>
        <w:tc>
          <w:tcPr>
            <w:tcW w:w="21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(2,406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(1,811</w:t>
            </w:r>
          </w:p>
        </w:tc>
        <w:tc>
          <w:tcPr>
            <w:tcW w:w="103"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7"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(1,724</w:t>
            </w:r>
          </w:p>
        </w:tc>
        <w:tc>
          <w:tcPr>
            <w:tcW w:w="103"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7" w:type="dxa"/>
            <w:tcBorders/>
            <w:shd w:fill="FFFFFF" w:val="clear"/>
            <w:vAlign w:val="center"/>
          </w:tcPr>
          <w:p>
            <w:pPr>
              <w:pStyle w:val="TableContents"/>
              <w:bidi w:val="0"/>
              <w:spacing w:before="0" w:after="283"/>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(3,535</w:t>
            </w:r>
          </w:p>
        </w:tc>
        <w:tc>
          <w:tcPr>
            <w:tcW w:w="109"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397"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interest-bearing deposits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58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63</w:t>
            </w:r>
          </w:p>
        </w:tc>
        <w:tc>
          <w:tcPr>
            <w:tcW w:w="10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66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(37</w:t>
            </w:r>
          </w:p>
        </w:tc>
        <w:tc>
          <w:tcPr>
            <w:tcW w:w="10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2"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ind w:left="0" w:right="0" w:hanging="0"/>
              <w:jc w:val="left"/>
              <w:rPr/>
            </w:pPr>
            <w:r>
              <w:rPr/>
              <w:t> </w:t>
            </w:r>
          </w:p>
        </w:tc>
        <w:tc>
          <w:tcPr>
            <w:tcW w:w="58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64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1,149</w:t>
            </w:r>
          </w:p>
        </w:tc>
        <w:tc>
          <w:tcPr>
            <w:tcW w:w="10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64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(1,372</w:t>
            </w:r>
          </w:p>
        </w:tc>
        <w:tc>
          <w:tcPr>
            <w:tcW w:w="10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9"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ind w:left="0" w:right="0" w:hanging="0"/>
              <w:jc w:val="left"/>
              <w:rPr/>
            </w:pPr>
            <w:r>
              <w:rPr/>
              <w:t> </w:t>
            </w:r>
          </w:p>
        </w:tc>
        <w:tc>
          <w:tcPr>
            <w:tcW w:w="64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(223</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2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205</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2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(412</w:t>
            </w:r>
          </w:p>
        </w:tc>
        <w:tc>
          <w:tcPr>
            <w:tcW w:w="103"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7"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62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(207</w:t>
            </w:r>
          </w:p>
        </w:tc>
        <w:tc>
          <w:tcPr>
            <w:tcW w:w="10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39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FHLB advances</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58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(237</w:t>
            </w:r>
          </w:p>
        </w:tc>
        <w:tc>
          <w:tcPr>
            <w:tcW w:w="10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2"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66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155</w:t>
            </w:r>
          </w:p>
        </w:tc>
        <w:tc>
          <w:tcPr>
            <w:tcW w:w="10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ind w:left="0" w:right="0" w:hanging="0"/>
              <w:jc w:val="left"/>
              <w:rPr/>
            </w:pPr>
            <w:r>
              <w:rPr/>
              <w:t> </w:t>
            </w:r>
          </w:p>
        </w:tc>
        <w:tc>
          <w:tcPr>
            <w:tcW w:w="58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(82</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64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(451</w:t>
            </w:r>
          </w:p>
        </w:tc>
        <w:tc>
          <w:tcPr>
            <w:tcW w:w="10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9"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64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82</w:t>
            </w:r>
          </w:p>
        </w:tc>
        <w:tc>
          <w:tcPr>
            <w:tcW w:w="10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64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(369</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62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(1,153</w:t>
            </w:r>
          </w:p>
        </w:tc>
        <w:tc>
          <w:tcPr>
            <w:tcW w:w="103"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7"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62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928</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62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(225</w:t>
            </w:r>
          </w:p>
        </w:tc>
        <w:tc>
          <w:tcPr>
            <w:tcW w:w="10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39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Long-term debt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58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p>
        </w:tc>
        <w:tc>
          <w:tcPr>
            <w:tcW w:w="10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66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828</w:t>
            </w:r>
          </w:p>
        </w:tc>
        <w:tc>
          <w:tcPr>
            <w:tcW w:w="10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ind w:left="0" w:right="0" w:hanging="0"/>
              <w:jc w:val="left"/>
              <w:rPr/>
            </w:pPr>
            <w:r>
              <w:rPr/>
              <w:t> </w:t>
            </w:r>
          </w:p>
        </w:tc>
        <w:tc>
          <w:tcPr>
            <w:tcW w:w="58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64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w:t>
            </w:r>
          </w:p>
        </w:tc>
        <w:tc>
          <w:tcPr>
            <w:tcW w:w="10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64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818</w:t>
            </w:r>
          </w:p>
        </w:tc>
        <w:tc>
          <w:tcPr>
            <w:tcW w:w="10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ind w:left="0" w:right="0" w:hanging="0"/>
              <w:jc w:val="left"/>
              <w:rPr/>
            </w:pPr>
            <w:r>
              <w:rPr/>
              <w:t> </w:t>
            </w:r>
          </w:p>
        </w:tc>
        <w:tc>
          <w:tcPr>
            <w:tcW w:w="64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2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2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808</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62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816</w:t>
            </w:r>
          </w:p>
        </w:tc>
        <w:tc>
          <w:tcPr>
            <w:tcW w:w="109" w:type="dxa"/>
            <w:tcBorders/>
            <w:shd w:fill="CCEEFF" w:val="clear"/>
            <w:vAlign w:val="center"/>
          </w:tcPr>
          <w:p>
            <w:pPr>
              <w:pStyle w:val="TableContents"/>
              <w:bidi w:val="0"/>
              <w:spacing w:before="0" w:after="283"/>
              <w:jc w:val="left"/>
              <w:rPr/>
            </w:pPr>
            <w:r>
              <w:rPr/>
              <w:t> </w:t>
            </w:r>
          </w:p>
        </w:tc>
      </w:tr>
      <w:tr>
        <w:trPr/>
        <w:tc>
          <w:tcPr>
            <w:tcW w:w="139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Subordinated debentures</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w:t>
            </w:r>
          </w:p>
        </w:tc>
        <w:tc>
          <w:tcPr>
            <w:tcW w:w="10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w:t>
            </w:r>
          </w:p>
        </w:tc>
        <w:tc>
          <w:tcPr>
            <w:tcW w:w="109"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2" w:type="dxa"/>
            <w:tcBorders/>
            <w:shd w:fill="FFFFFF" w:val="clear"/>
            <w:vAlign w:val="center"/>
          </w:tcPr>
          <w:p>
            <w:pPr>
              <w:pStyle w:val="TableContents"/>
              <w:bidi w:val="0"/>
              <w:spacing w:before="0" w:after="283"/>
              <w:jc w:val="left"/>
              <w:rPr/>
            </w:pPr>
            <w:r>
              <w:rPr/>
              <w:t> </w:t>
            </w:r>
          </w:p>
        </w:tc>
        <w:tc>
          <w:tcPr>
            <w:tcW w:w="2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w:t>
            </w:r>
          </w:p>
        </w:tc>
        <w:tc>
          <w:tcPr>
            <w:tcW w:w="10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(58</w:t>
            </w:r>
          </w:p>
        </w:tc>
        <w:tc>
          <w:tcPr>
            <w:tcW w:w="10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9" w:type="dxa"/>
            <w:tcBorders/>
            <w:shd w:fill="FFFFFF" w:val="clear"/>
            <w:vAlign w:val="center"/>
          </w:tcPr>
          <w:p>
            <w:pPr>
              <w:pStyle w:val="TableContents"/>
              <w:bidi w:val="0"/>
              <w:spacing w:before="0" w:after="283"/>
              <w:jc w:val="left"/>
              <w:rPr/>
            </w:pPr>
            <w:r>
              <w:rPr/>
              <w:t> </w:t>
            </w:r>
          </w:p>
        </w:tc>
        <w:tc>
          <w:tcPr>
            <w:tcW w:w="21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w:t>
            </w:r>
          </w:p>
        </w:tc>
        <w:tc>
          <w:tcPr>
            <w:tcW w:w="10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(82</w:t>
            </w:r>
          </w:p>
        </w:tc>
        <w:tc>
          <w:tcPr>
            <w:tcW w:w="103"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7" w:type="dxa"/>
            <w:tcBorders/>
            <w:shd w:fill="FFFFFF" w:val="clear"/>
            <w:vAlign w:val="center"/>
          </w:tcPr>
          <w:p>
            <w:pPr>
              <w:pStyle w:val="TableContents"/>
              <w:bidi w:val="0"/>
              <w:spacing w:before="0" w:after="283"/>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(55</w:t>
            </w:r>
          </w:p>
        </w:tc>
        <w:tc>
          <w:tcPr>
            <w:tcW w:w="109"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397"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interest-bearing liabilities</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(166</w:t>
            </w:r>
          </w:p>
        </w:tc>
        <w:tc>
          <w:tcPr>
            <w:tcW w:w="109"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2" w:type="dxa"/>
            <w:tcBorders/>
            <w:shd w:fill="CCEEFF" w:val="clear"/>
            <w:vAlign w:val="center"/>
          </w:tcPr>
          <w:p>
            <w:pPr>
              <w:pStyle w:val="TableContents"/>
              <w:bidi w:val="0"/>
              <w:spacing w:before="0" w:after="283"/>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939</w:t>
            </w:r>
          </w:p>
        </w:tc>
        <w:tc>
          <w:tcPr>
            <w:tcW w:w="10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2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773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732</w:t>
            </w:r>
          </w:p>
        </w:tc>
        <w:tc>
          <w:tcPr>
            <w:tcW w:w="10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(530</w:t>
            </w:r>
          </w:p>
        </w:tc>
        <w:tc>
          <w:tcPr>
            <w:tcW w:w="10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9" w:type="dxa"/>
            <w:tcBorders/>
            <w:shd w:fill="CCEEFF" w:val="clear"/>
            <w:vAlign w:val="center"/>
          </w:tcPr>
          <w:p>
            <w:pPr>
              <w:pStyle w:val="TableContents"/>
              <w:bidi w:val="0"/>
              <w:spacing w:before="0" w:after="283"/>
              <w:jc w:val="left"/>
              <w:rPr/>
            </w:pPr>
            <w:r>
              <w:rPr/>
              <w:t> </w:t>
            </w:r>
          </w:p>
        </w:tc>
        <w:tc>
          <w:tcPr>
            <w:tcW w:w="21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(913</w:t>
            </w:r>
          </w:p>
        </w:tc>
        <w:tc>
          <w:tcPr>
            <w:tcW w:w="103"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7"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1,242</w:t>
            </w:r>
          </w:p>
        </w:tc>
        <w:tc>
          <w:tcPr>
            <w:tcW w:w="10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329</w:t>
            </w:r>
          </w:p>
        </w:tc>
        <w:tc>
          <w:tcPr>
            <w:tcW w:w="10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1397"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Changes in net interest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866</w:t>
            </w:r>
          </w:p>
        </w:tc>
        <w:tc>
          <w:tcPr>
            <w:tcW w:w="10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(1,283</w:t>
            </w:r>
          </w:p>
        </w:tc>
        <w:tc>
          <w:tcPr>
            <w:tcW w:w="10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2" w:type="dxa"/>
            <w:tcBorders/>
            <w:shd w:fill="FFFFFF" w:val="clear"/>
            <w:vAlign w:val="center"/>
          </w:tcPr>
          <w:p>
            <w:pPr>
              <w:pStyle w:val="TableContents"/>
              <w:bidi w:val="0"/>
              <w:spacing w:before="0" w:after="283"/>
              <w:ind w:left="0" w:right="0" w:hanging="0"/>
              <w:jc w:val="left"/>
              <w:rPr/>
            </w:pPr>
            <w:r>
              <w:rPr/>
              <w:t> </w:t>
            </w:r>
          </w:p>
        </w:tc>
        <w:tc>
          <w:tcPr>
            <w:tcW w:w="2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(417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4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3,469</w:t>
            </w:r>
          </w:p>
        </w:tc>
        <w:tc>
          <w:tcPr>
            <w:tcW w:w="10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4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(716</w:t>
            </w:r>
          </w:p>
        </w:tc>
        <w:tc>
          <w:tcPr>
            <w:tcW w:w="10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9" w:type="dxa"/>
            <w:tcBorders/>
            <w:shd w:fill="FFFFFF" w:val="clear"/>
            <w:vAlign w:val="center"/>
          </w:tcPr>
          <w:p>
            <w:pPr>
              <w:pStyle w:val="TableContents"/>
              <w:bidi w:val="0"/>
              <w:spacing w:before="0" w:after="283"/>
              <w:ind w:left="0" w:right="0" w:hanging="0"/>
              <w:jc w:val="left"/>
              <w:rPr/>
            </w:pPr>
            <w:r>
              <w:rPr/>
              <w:t> </w:t>
            </w:r>
          </w:p>
        </w:tc>
        <w:tc>
          <w:tcPr>
            <w:tcW w:w="21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4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2,753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2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8,302</w:t>
            </w:r>
          </w:p>
        </w:tc>
        <w:tc>
          <w:tcPr>
            <w:tcW w:w="10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2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(1,212</w:t>
            </w:r>
          </w:p>
        </w:tc>
        <w:tc>
          <w:tcPr>
            <w:tcW w:w="10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7" w:type="dxa"/>
            <w:tcBorders/>
            <w:shd w:fill="FFFF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2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7,090</w:t>
            </w:r>
          </w:p>
        </w:tc>
        <w:tc>
          <w:tcPr>
            <w:tcW w:w="10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60"/>
        <w:gridCol w:w="211"/>
        <w:gridCol w:w="9934"/>
      </w:tblGrid>
      <w:tr>
        <w:trPr/>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sz w:val="16"/>
              </w:rPr>
            </w:pPr>
            <w:r>
              <w:rPr>
                <w:sz w:val="16"/>
              </w:rPr>
              <w:t>(1)</w:t>
            </w:r>
          </w:p>
        </w:tc>
        <w:tc>
          <w:tcPr>
            <w:tcW w:w="9934" w:type="dxa"/>
            <w:tcBorders/>
            <w:vAlign w:val="center"/>
          </w:tcPr>
          <w:p>
            <w:pPr>
              <w:pStyle w:val="TableContents"/>
              <w:bidi w:val="0"/>
              <w:spacing w:before="0" w:after="283"/>
              <w:jc w:val="left"/>
              <w:rPr>
                <w:sz w:val="16"/>
              </w:rPr>
            </w:pPr>
            <w:r>
              <w:rPr>
                <w:sz w:val="16"/>
              </w:rPr>
              <w:t>Includes income and average balances for interest-earning time deposits and other miscellaneous interest-earning assets.</w:t>
            </w:r>
          </w:p>
        </w:tc>
      </w:tr>
      <w:tr>
        <w:trPr/>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sz w:val="16"/>
              </w:rPr>
            </w:pPr>
            <w:r>
              <w:rPr>
                <w:sz w:val="16"/>
              </w:rPr>
              <w:t>(2)</w:t>
            </w:r>
          </w:p>
        </w:tc>
        <w:tc>
          <w:tcPr>
            <w:tcW w:w="9934" w:type="dxa"/>
            <w:tcBorders/>
            <w:vAlign w:val="center"/>
          </w:tcPr>
          <w:p>
            <w:pPr>
              <w:pStyle w:val="TableContents"/>
              <w:bidi w:val="0"/>
              <w:spacing w:before="0" w:after="283"/>
              <w:jc w:val="left"/>
              <w:rPr>
                <w:sz w:val="16"/>
              </w:rPr>
            </w:pPr>
            <w:r>
              <w:rPr>
                <w:sz w:val="16"/>
              </w:rPr>
              <w:t>Interest income and average rates for tax-exempt securities are presented on a tax-equivalent basis.</w:t>
            </w:r>
          </w:p>
        </w:tc>
      </w:tr>
      <w:tr>
        <w:trPr/>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sz w:val="16"/>
              </w:rPr>
            </w:pPr>
            <w:r>
              <w:rPr>
                <w:sz w:val="16"/>
              </w:rPr>
              <w:t>(3)</w:t>
            </w:r>
          </w:p>
        </w:tc>
        <w:tc>
          <w:tcPr>
            <w:tcW w:w="9934" w:type="dxa"/>
            <w:tcBorders/>
            <w:vAlign w:val="center"/>
          </w:tcPr>
          <w:p>
            <w:pPr>
              <w:pStyle w:val="TableContents"/>
              <w:bidi w:val="0"/>
              <w:spacing w:before="0" w:after="283"/>
              <w:jc w:val="left"/>
              <w:rPr>
                <w:sz w:val="16"/>
              </w:rPr>
            </w:pPr>
            <w:r>
              <w:rPr>
                <w:sz w:val="16"/>
              </w:rPr>
              <w:t>Average loan balances include nonaccrual loans. Interest income on loans includes the effects of discount accretion and net deferred loan origination fees and costs accounted for as yield adjustments.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Net Interest Income/Average Balance Sheet</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520" w:right="0" w:hanging="0"/>
        <w:jc w:val="left"/>
        <w:rPr>
          <w:rFonts w:ascii="Times New Roman" w:hAnsi="Times New Roman"/>
          <w:b/>
          <w:i/>
          <w:caps w:val="false"/>
          <w:smallCaps w:val="false"/>
          <w:sz w:val="20"/>
        </w:rPr>
      </w:pPr>
      <w:r>
        <w:rPr>
          <w:rFonts w:ascii="Times New Roman" w:hAnsi="Times New Roman"/>
          <w:b/>
          <w:i/>
          <w:caps w:val="false"/>
          <w:smallCaps w:val="false"/>
          <w:sz w:val="20"/>
        </w:rPr>
        <w:t>Three Months Ended June 30, 2026 Compared to Three Months Ended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Net interest income decreased $417,000 to $30.1 million for the second quarter of 2026, compared to $30.5 million for the first quarter of 2026. The $417,000 decrease was due to a $773,000 increase in interest expense, offset by a $356,000 increase in interest income. The increase in interest expense was due mainly to an $829,000 increase in interest on subordinated notes as a result of these notes repricing from 4.00% to 6.98% effective April 1, 2026 and one additional day in the quarter. The increase in interest income was due to the combination of a $725,000 increase in loan interest income as average loans increased and one additional day in the quarter, partially offset by lower FHLB dividend income as the first quarter of 2026 included a special dividend of $430,000. There was no special dividend from the FHLB in the second quarter of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net interest margin ("NIM") was 3.06% for the second quarter of 2026, a decrease of 9 basis points from 3.15% for the first quarter of 2026. The NIM decrease included a 5 basis point decrease in the yield on average total interest-earning assets, combined with a 4 basis point increase in the overall cost of funds. The yield on average interest-earning assets decreased to 5.81% for the second quarter of 2026 from 5.86% for the first quarter of 2026 due mostly to the impact of a 4 basis point decrease from lower FHLB dividends and a 1 basis point decrease in the yield on average total loans.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average cost of funds increased to 3.00% for the second quarter of 2026 from 2.96% for the first quarter of 2026, due mostly to an increase in the cost of $120.0 million in subordinated notes due to their repricing on April 1, 2026, partially offset by a 5 basis point decrease in the cost of average total deposits to 2.81%. The average cost of interest-bearing deposits decreased to 3.34% for the second quarter of 2026 from 3.39% for the first quarter of 2026. The overall funding mix for the second quarter of 2026 remained relatively unchanged from the first quarter of 2026 with average interest-bearing deposits representing 92% of average interest-bearing liabilities and average noninterest-bearing deposits representing 16% of average total deposits. The period end weighted average interest rate for total deposits was 2.75% at June 30, 2026 compared to 2.79% at March 31, 2026.</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Three Months Ended June 30, 2026 Compared to Three Months Ended June 30, 2025</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Net interest income increased $2.8 million to $30.1 million for the second quarter of 2026, compared to $27.3 million for the second quarter of 2025. The increase in net interest income was due to an increase in interest income of $3.0 million, partially offset by a $202,000 increase in interest expense. The increase in interest income was primarily due to average interest-earning asset growth of $193.6 million, or 5.2%, as compared to the same quarter in 2025. The growth in average interest-earning assets included higher average total loans, securities available for sale, and cash and cash equivalents. The impact of higher average interest-earning assets on income was partially offset by lower market interest rates as compared to the same period in 2025. The increase in interest expense was driven largely by an increase in the cost of subordinated notes due to their repricing on April 1, 2026, from 4.00% to 6.98%.</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$3.0 million increase in interest income was due mainly to a $3.0 million increase in interest income from average total loans, of which $2.2 million was attributed to higher average balances, and $795,000 attributed to higher rates. Average total loans were $3.3 billion for the quarter ended June 30, 2026, an increase of $144.3 million, or 4.5%, compared to the second quarter of 2025. The yield on average total loans increased 10 basis points to 6.13% for the quarter ended June 30, 2026 compared to 6.03% for the quarter ended June 30, 2025.</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$202,000 increase in interest expense was due mainly to higher interest expense on borrowings of $425,000, partially offset by a $223,000 decrease in interest expense on deposits. Interest expense on borrowings increased mainly due to the repricing of the subordinated notes from 4.00% to 6.98% on April 1, 2026.The decrease in interest expense on deposits was primarily due to a 32 basis point decrease in the rates paid on average interest-bearing deposits, partially offset by the impact of a $224.4 million increase in the average balance of interest-bearing deposits.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NIM was 3.06% for the second quarter of 2026, an increase of 14 basis points from 2.92% for the second quarter of 2025. The increase was primarily due to a 14 basis point decrease in the total cost of funds to 3.00%, and a 2 basis point increase in the yield on average interest-earning assets to 5.81% for the second quarter of 2026 from 5.79% for the second quarter of 2025. The decrease in funding costs was due to the lower average cost of interest-bearing deposits in response to lower market rates, offset by the higher average cost for borrowings. Average noninterest-bearing deposits totaled $535.8 million, or 16% of total average deposits, for the second quarter of 2026 compared to $526.1 million, or 17% of total average deposits, for the second quarter of 2025. The increase in the yield on average interest-earning assets was due mainly to a 10 basis point increase in the yield on average total loans.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Six Months Ended June 30, 2026 Compared to Six Months Ended June 30, 2025</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Net interest income increased $7.1 million to $60.6 million for the six months ended June 30, 2026, compared to $53.5 million for the six months ended June 30, 2025. The increase in net interest income was due to an increase in interest income of $7.4 million partially offset by an increase in interest expense of $329,000. The increase in interest income was due primarily to higher income on loans due to a higher average balance and higher yield. The increase in interest expense was primarily due to higher average rates paid on borrowings.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Interest and fees on total loans increased $7.3 million for the six months ended June 30, 2026 primarily due to a $180.4 million increase in the average balance of total loans from loan growth since the end of the second quarter of 2025. The yield on loans increased 12 basis points to 6.14% for the six months ended June 30, 2026 from 6.02% for the same period in 2025.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Interest expense on deposits decreased $207,000 to $47.2 million for the six months ended June 30, 2026 compared to $47.4 million for the six months ended June 30, 2025. The decrease in interest expense on deposits was primarily due to a decrease in the average rates paid on interest-bearing deposits to 3.37% for the six months ended June 30, 2026 compared to 3.71% for the six months ended June 30, 2025. The effect of the decrease in the average rate paid on deposits was partially offset by an increase in average interest-bearing deposit balances of $252.8 million to $2.8 billion for the six months ended June 30, 2026. Average noninterest-bearing deposits totaled $531.0 million, or 15.8% of total average deposits, for the first six months of 2026, compared to 16.9% for the first six months of 2025.</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Partially offsetting the decrease in interest expense on deposits was an increase in interest expense on borrowings of $536,000 for the first six months of 2026. The increase is mainly due to the repricing of the subordinated notes from 4.00% to 6.98% on April 1, 2026.</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NIM was 3.10% for the six months ended June 30, 2026, an increase of 20 basis points from 2.90% for the six months ended June 30, 2025. The increase was primarily due to a 17 basis point decrease in the average cost of funds, including a 26 basis point decrease in the cost of average deposits, and a 5 basis point increase in the yield on average interest-earning assets, including a 12 basis point increase in the yield on average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Provision for Credit Losses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520" w:right="0" w:hanging="0"/>
        <w:jc w:val="left"/>
        <w:rPr>
          <w:rFonts w:ascii="Times New Roman" w:hAnsi="Times New Roman"/>
          <w:b/>
          <w:i/>
          <w:caps w:val="false"/>
          <w:smallCaps w:val="false"/>
          <w:sz w:val="20"/>
        </w:rPr>
      </w:pPr>
      <w:r>
        <w:rPr>
          <w:rFonts w:ascii="Times New Roman" w:hAnsi="Times New Roman"/>
          <w:b/>
          <w:i/>
          <w:caps w:val="false"/>
          <w:smallCaps w:val="false"/>
          <w:sz w:val="20"/>
        </w:rPr>
        <w:t>Three Months Ended June 30, 2026 Compared to Three Months Ended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provision for credit losses was $0 for the second quarter of 2026 compared to a reversal of $200,000 for the first quarter of 2026. The second quarter of 2026 provision for credit losses reflected a provision for loan losses of $77,000 due mainly to net charge-offs and a reversal of provision for unfunded commitments of $77,000 due to a lower volume of unfunded commitments. The second quarter provision also took into consideration that portfolio credit quality trends, underlying economic forecast indicators, and changes in loan portfolio composition remained relatively stable. Net charge-offs on an annualized basis represented 0.01% of average loans for the second quarter of 2026 compared to 0.00% for the first quarter of 2026.</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520" w:right="0" w:hanging="0"/>
        <w:jc w:val="left"/>
        <w:rPr>
          <w:rFonts w:ascii="Times New Roman" w:hAnsi="Times New Roman"/>
          <w:b/>
          <w:i/>
          <w:caps w:val="false"/>
          <w:smallCaps w:val="false"/>
          <w:sz w:val="20"/>
        </w:rPr>
      </w:pPr>
      <w:r>
        <w:rPr>
          <w:rFonts w:ascii="Times New Roman" w:hAnsi="Times New Roman"/>
          <w:b/>
          <w:i/>
          <w:caps w:val="false"/>
          <w:smallCaps w:val="false"/>
          <w:sz w:val="20"/>
        </w:rPr>
        <w:t>Three Months Ended June 30, 2026 Compared to Three Months Ended June 30, 2025</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provision for credit losses was $0 for the second quarter of 2026 compared to a $2.4 million provision for the second quarter of 2025. The second quarter of 2025 provision for credit losses included net charge-offs of $3.3 million, an increase in general reserves due mainly to loan growth offset partially by a net decrease in specific reserves. Net loan charge-offs of</w:t>
      </w:r>
      <w:r>
        <w:rPr>
          <w:rFonts w:ascii="Times New Roman" w:hAnsi="Times New Roman"/>
          <w:caps w:val="false"/>
          <w:smallCaps w:val="false"/>
          <w:color w:val="FF0000"/>
          <w:sz w:val="20"/>
        </w:rPr>
        <w:t> </w:t>
      </w:r>
      <w:r>
        <w:rPr>
          <w:rFonts w:ascii="Times New Roman" w:hAnsi="Times New Roman"/>
          <w:caps w:val="false"/>
          <w:smallCaps w:val="false"/>
          <w:sz w:val="20"/>
        </w:rPr>
        <w:t>$83,000 for the second quarter of 2026 were lower than $3.3 million for the same quarter last year.</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520" w:right="0" w:hanging="0"/>
        <w:jc w:val="left"/>
        <w:rPr>
          <w:rFonts w:ascii="Times New Roman" w:hAnsi="Times New Roman"/>
          <w:b/>
          <w:i/>
          <w:caps w:val="false"/>
          <w:smallCaps w:val="false"/>
          <w:sz w:val="20"/>
        </w:rPr>
      </w:pPr>
      <w:r>
        <w:rPr>
          <w:rFonts w:ascii="Times New Roman" w:hAnsi="Times New Roman"/>
          <w:b/>
          <w:i/>
          <w:caps w:val="false"/>
          <w:smallCaps w:val="false"/>
          <w:sz w:val="20"/>
        </w:rPr>
        <w:t>Six Months Ended June 30, 2026 Compared to Six Months Ended June 30, 2025</w:t>
      </w:r>
    </w:p>
    <w:p>
      <w:pPr>
        <w:pStyle w:val="TextBody"/>
        <w:bidi w:val="0"/>
        <w:spacing w:before="0" w:after="0"/>
        <w:ind w:left="52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provision for credit losses was a reversal of $200,000 for the six months ended June 30, 2026 compared to a $9.1 million provision for the six months ended June 30, 2025. This $9.3 million decrease was primarily due to lower net charge-offs, combined with the impact of declines in nonperforming, classified, and criticized loans as of June 30, 2026. There were $105,000 in net loan charge-offs for the six months ended June 30, 2026, as compared to $5.9 million in net loan charge-offs for the six months ended June 30, 2025.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Noninterest Income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following table presents the major components of our noninterest income for the periods presented:</w:t>
      </w:r>
    </w:p>
    <w:p>
      <w:pPr>
        <w:pStyle w:val="TextBody"/>
        <w:bidi w:val="0"/>
        <w:spacing w:before="0" w:after="0"/>
        <w:ind w:left="0" w:right="0" w:firstLine="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93"/>
        <w:gridCol w:w="60"/>
        <w:gridCol w:w="241"/>
        <w:gridCol w:w="941"/>
        <w:gridCol w:w="80"/>
        <w:gridCol w:w="60"/>
        <w:gridCol w:w="275"/>
        <w:gridCol w:w="1071"/>
        <w:gridCol w:w="60"/>
        <w:gridCol w:w="60"/>
        <w:gridCol w:w="241"/>
        <w:gridCol w:w="941"/>
        <w:gridCol w:w="60"/>
        <w:gridCol w:w="60"/>
        <w:gridCol w:w="241"/>
        <w:gridCol w:w="941"/>
        <w:gridCol w:w="63"/>
        <w:gridCol w:w="63"/>
        <w:gridCol w:w="207"/>
        <w:gridCol w:w="977"/>
        <w:gridCol w:w="70"/>
      </w:tblGrid>
      <w:tr>
        <w:trPr/>
        <w:tc>
          <w:tcPr>
            <w:tcW w:w="349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7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9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7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9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 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1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2025</w:t>
            </w:r>
          </w:p>
        </w:tc>
        <w:tc>
          <w:tcPr>
            <w:tcW w:w="7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9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Noninterest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6582" w:type="dxa"/>
            <w:gridSpan w:val="18"/>
            <w:tcBorders/>
            <w:shd w:fill="FFFFFF" w:val="clear"/>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(dollars in thousands)</w:t>
            </w:r>
          </w:p>
        </w:tc>
        <w:tc>
          <w:tcPr>
            <w:tcW w:w="70" w:type="dxa"/>
            <w:tcBorders/>
            <w:shd w:fill="FFFFFF" w:val="clear"/>
            <w:vAlign w:val="center"/>
          </w:tcPr>
          <w:p>
            <w:pPr>
              <w:pStyle w:val="TableContents"/>
              <w:bidi w:val="0"/>
              <w:spacing w:before="0" w:after="283"/>
              <w:jc w:val="left"/>
              <w:rPr/>
            </w:pPr>
            <w:r>
              <w:rPr/>
              <w:t> </w:t>
            </w:r>
          </w:p>
        </w:tc>
      </w:tr>
      <w:tr>
        <w:trPr/>
        <w:tc>
          <w:tcPr>
            <w:tcW w:w="349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 charges and fees</w:t>
            </w:r>
          </w:p>
        </w:tc>
        <w:tc>
          <w:tcPr>
            <w:tcW w:w="60" w:type="dxa"/>
            <w:tcBorders/>
            <w:shd w:fill="CCEEFF" w:val="clear"/>
            <w:vAlign w:val="center"/>
          </w:tcPr>
          <w:p>
            <w:pPr>
              <w:pStyle w:val="TableContents"/>
              <w:bidi w:val="0"/>
              <w:spacing w:before="0" w:after="283"/>
              <w:ind w:left="0" w:right="0" w:hanging="0"/>
              <w:jc w:val="left"/>
              <w:rPr/>
            </w:pPr>
            <w:r>
              <w:rPr/>
              <w:t> </w:t>
            </w:r>
          </w:p>
        </w:tc>
        <w:tc>
          <w:tcPr>
            <w:tcW w:w="2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2,136</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2,077</w:t>
            </w:r>
          </w:p>
        </w:tc>
        <w:tc>
          <w:tcPr>
            <w:tcW w:w="70" w:type="dxa"/>
            <w:tcBorders/>
            <w:shd w:fill="CCEEFF" w:val="clear"/>
            <w:vAlign w:val="center"/>
          </w:tcPr>
          <w:p>
            <w:pPr>
              <w:pStyle w:val="TableContents"/>
              <w:bidi w:val="0"/>
              <w:spacing w:before="0" w:after="283"/>
              <w:jc w:val="left"/>
              <w:rPr/>
            </w:pPr>
            <w:r>
              <w:rPr/>
              <w:t> </w:t>
            </w:r>
          </w:p>
        </w:tc>
      </w:tr>
      <w:tr>
        <w:trPr/>
        <w:tc>
          <w:tcPr>
            <w:tcW w:w="349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sale of loans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0"/>
              <w:jc w:val="left"/>
              <w:rPr/>
            </w:pPr>
            <w:r>
              <w:rPr/>
              <w:t> </w:t>
            </w:r>
          </w:p>
        </w:tc>
        <w:tc>
          <w:tcPr>
            <w:tcW w:w="10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1,288</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w:t>
            </w:r>
          </w:p>
        </w:tc>
        <w:tc>
          <w:tcPr>
            <w:tcW w:w="70" w:type="dxa"/>
            <w:tcBorders/>
            <w:shd w:fill="FFFFFF" w:val="clear"/>
            <w:vAlign w:val="center"/>
          </w:tcPr>
          <w:p>
            <w:pPr>
              <w:pStyle w:val="TableContents"/>
              <w:bidi w:val="0"/>
              <w:spacing w:before="0" w:after="283"/>
              <w:jc w:val="left"/>
              <w:rPr/>
            </w:pPr>
            <w:r>
              <w:rPr/>
              <w:t> </w:t>
            </w:r>
          </w:p>
        </w:tc>
      </w:tr>
      <w:tr>
        <w:trPr/>
        <w:tc>
          <w:tcPr>
            <w:tcW w:w="349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 servicing income, net of amortization</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9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0"/>
              <w:jc w:val="left"/>
              <w:rPr/>
            </w:pPr>
            <w:r>
              <w:rPr/>
              <w:t> </w:t>
            </w:r>
          </w:p>
        </w:tc>
        <w:tc>
          <w:tcPr>
            <w:tcW w:w="10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9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9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1,037</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1,129</w:t>
            </w:r>
          </w:p>
        </w:tc>
        <w:tc>
          <w:tcPr>
            <w:tcW w:w="70" w:type="dxa"/>
            <w:tcBorders/>
            <w:shd w:fill="CCEEFF" w:val="clear"/>
            <w:vAlign w:val="center"/>
          </w:tcPr>
          <w:p>
            <w:pPr>
              <w:pStyle w:val="TableContents"/>
              <w:bidi w:val="0"/>
              <w:spacing w:before="0" w:after="283"/>
              <w:jc w:val="left"/>
              <w:rPr/>
            </w:pPr>
            <w:r>
              <w:rPr/>
              <w:t> </w:t>
            </w:r>
          </w:p>
        </w:tc>
      </w:tr>
      <w:tr>
        <w:trPr/>
        <w:tc>
          <w:tcPr>
            <w:tcW w:w="349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Increase in cash surrender value of BOLI</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0"/>
              <w:jc w:val="left"/>
              <w:rPr/>
            </w:pPr>
            <w:r>
              <w:rPr/>
              <w:t> </w:t>
            </w:r>
          </w:p>
        </w:tc>
        <w:tc>
          <w:tcPr>
            <w:tcW w:w="10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869</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814</w:t>
            </w:r>
          </w:p>
        </w:tc>
        <w:tc>
          <w:tcPr>
            <w:tcW w:w="70" w:type="dxa"/>
            <w:tcBorders/>
            <w:shd w:fill="FFFFFF" w:val="clear"/>
            <w:vAlign w:val="center"/>
          </w:tcPr>
          <w:p>
            <w:pPr>
              <w:pStyle w:val="TableContents"/>
              <w:bidi w:val="0"/>
              <w:spacing w:before="0" w:after="283"/>
              <w:jc w:val="left"/>
              <w:rPr/>
            </w:pPr>
            <w:r>
              <w:rPr/>
              <w:t> </w:t>
            </w:r>
          </w:p>
        </w:tc>
      </w:tr>
      <w:tr>
        <w:trPr/>
        <w:tc>
          <w:tcPr>
            <w:tcW w:w="349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(Loss)/gain on OREO</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9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0"/>
              <w:jc w:val="left"/>
              <w:rPr/>
            </w:pPr>
            <w:r>
              <w:rPr/>
              <w:t> </w:t>
            </w:r>
          </w:p>
        </w:tc>
        <w:tc>
          <w:tcPr>
            <w:tcW w:w="10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94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9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669</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77" w:type="dxa"/>
            <w:tcBorders/>
            <w:shd w:fill="CCEEFF" w:val="clear"/>
            <w:vAlign w:val="center"/>
          </w:tcPr>
          <w:p>
            <w:pPr>
              <w:pStyle w:val="TableContents"/>
              <w:bidi w:val="0"/>
              <w:spacing w:before="0" w:after="283"/>
              <w:ind w:left="0" w:right="0" w:hanging="0"/>
              <w:jc w:val="right"/>
              <w:rPr/>
            </w:pPr>
            <w:r>
              <w:rPr/>
              <w:t>—</w:t>
            </w:r>
          </w:p>
        </w:tc>
        <w:tc>
          <w:tcPr>
            <w:tcW w:w="70" w:type="dxa"/>
            <w:tcBorders/>
            <w:shd w:fill="CCEEFF" w:val="clear"/>
            <w:vAlign w:val="center"/>
          </w:tcPr>
          <w:p>
            <w:pPr>
              <w:pStyle w:val="TableContents"/>
              <w:bidi w:val="0"/>
              <w:spacing w:before="0" w:after="283"/>
              <w:jc w:val="left"/>
              <w:rPr/>
            </w:pPr>
            <w:r>
              <w:rPr/>
              <w:t> </w:t>
            </w:r>
          </w:p>
        </w:tc>
      </w:tr>
      <w:tr>
        <w:trPr/>
        <w:tc>
          <w:tcPr>
            <w:tcW w:w="349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6,108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1,270</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6,314</w:t>
            </w:r>
          </w:p>
        </w:tc>
        <w:tc>
          <w:tcPr>
            <w:tcW w:w="7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93"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noninterest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8,478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7,269</w:t>
            </w:r>
          </w:p>
        </w:tc>
        <w:tc>
          <w:tcPr>
            <w:tcW w:w="6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10,773</w:t>
            </w:r>
          </w:p>
        </w:tc>
        <w:tc>
          <w:tcPr>
            <w:tcW w:w="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540" w:right="0" w:hanging="0"/>
        <w:jc w:val="left"/>
        <w:rPr>
          <w:rFonts w:ascii="Times New Roman;Times;serif" w:hAnsi="Times New Roman;Times;serif"/>
          <w:b/>
          <w:i/>
          <w:sz w:val="20"/>
        </w:rPr>
      </w:pPr>
      <w:r>
        <w:rPr>
          <w:rFonts w:ascii="Times New Roman;Times;serif" w:hAnsi="Times New Roman;Times;serif"/>
          <w:b/>
          <w:i/>
          <w:sz w:val="20"/>
        </w:rPr>
        <w:t>Three Months Ended June 30, 2026 Compared to Three Months Ended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Noninterest income for the second quarter of 2026 was $3.0 million, a decrease of $1.2 million from $4.3 million for the first quarter of 2026. The decrease in noninterest income was mainly due to lower gains from OREO of $1.1 million, and lower other income of $870,000, offset partially by higher gain on sale of loans of $640,000. The net loss on OREO was $221,000 in the second quarter compared to the net gain on OREO of $890,000 in the first quarter. The decrease in other income was due to the first quarter including a $484,000 recovery of a fully charged-off acquired loan and $360,000 of interest income on the tax refunds related to purchased federal tax credits; there were no similar items in the second quarter of 2026. The sale of $42.1 million of mortgage loans and $8.1 million of Small Business Administration (“SBA”) loans resulted in gains of $1.0 million for the second quarter of 2026 compared to the sale of mortgage loans of $4.9 million and SBA loans of $4.0 million for gains of $324,000 for the first quarter of 2026.</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520" w:right="0" w:hanging="0"/>
        <w:jc w:val="left"/>
        <w:rPr>
          <w:rFonts w:ascii="Times New Roman" w:hAnsi="Times New Roman"/>
          <w:b/>
          <w:i/>
          <w:caps w:val="false"/>
          <w:smallCaps w:val="false"/>
          <w:sz w:val="20"/>
        </w:rPr>
      </w:pPr>
      <w:r>
        <w:rPr>
          <w:rFonts w:ascii="Times New Roman" w:hAnsi="Times New Roman"/>
          <w:b/>
          <w:i/>
          <w:caps w:val="false"/>
          <w:smallCaps w:val="false"/>
          <w:sz w:val="20"/>
        </w:rPr>
        <w:t>Three Months Ended June 30, 2026 Compared to Three Months Ended June 30, 2025</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Noninterest income decreased $5.5 million to $3.0 million for the second quarter of 2026 from $8.5 million for the same quarter in the prior year. The decrease in noninterest income primarily relates to the second quarter of 2025 including other income of $5.2 million for the receipt of Employee Retention Credit ("ERC") funds from the Internal Revenue Service. The ERC was a grant program established under the Coronavirus Aid, Relief, and Economic Security Act in response to the COVID-19 pandemic and these funds related to qualifying amended payroll tax returns the Company filed for the first and second quarters of 2021. There were no such ERC amounts received or associated costs recognized during 2026.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520" w:right="0" w:hanging="0"/>
        <w:jc w:val="left"/>
        <w:rPr>
          <w:rFonts w:ascii="Times New Roman" w:hAnsi="Times New Roman"/>
          <w:b/>
          <w:i/>
          <w:caps w:val="false"/>
          <w:smallCaps w:val="false"/>
          <w:sz w:val="20"/>
        </w:rPr>
      </w:pPr>
      <w:r>
        <w:rPr>
          <w:rFonts w:ascii="Times New Roman" w:hAnsi="Times New Roman"/>
          <w:b/>
          <w:i/>
          <w:caps w:val="false"/>
          <w:smallCaps w:val="false"/>
          <w:sz w:val="20"/>
        </w:rPr>
        <w:t>Six Months Ended June 30, 2026 Compared to Six Months Ended June 30, 2025</w:t>
      </w:r>
    </w:p>
    <w:p>
      <w:pPr>
        <w:pStyle w:val="TextBody"/>
        <w:bidi w:val="0"/>
        <w:spacing w:before="0" w:after="0"/>
        <w:ind w:left="52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Noninterest income decreased $3.5 million to $7.3 million for the six months ended June 30, 2026, compared to $10.8 million for the same period in the prior year. The decrease was mainly due to the second quarter of 2025 including other income of $5.2 million for the receipt of the previously mentioned ERC grant. This was partially offset by a higher gain on sale of loans of $849,000 and gain on OREO of $669,000 for the six months ended June 30, 2026 compared to the same period in 2025.</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following table presents information on loans sold and the related net gain (loss) on the sale of such loans for the periods indicated:</w:t>
      </w:r>
      <w:bookmarkStart w:id="10" w:name="Gain_on_loans_sold"/>
      <w:bookmarkEnd w:id="10"/>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caps w:val="false"/>
          <w:smallCaps w:val="false"/>
        </w:rPr>
      </w:pPr>
      <w:r>
        <w:rPr>
          <w:caps w:val="false"/>
          <w:smallCaps w:val="false"/>
        </w:rPr>
        <w:t> </w:t>
      </w:r>
    </w:p>
    <w:tbl>
      <w:tblPr>
        <w:tblW w:w="10020" w:type="dxa"/>
        <w:jc w:val="left"/>
        <w:tblInd w:w="0" w:type="dxa"/>
        <w:tblLayout w:type="fixed"/>
        <w:tblCellMar>
          <w:top w:w="0" w:type="dxa"/>
          <w:left w:w="0" w:type="dxa"/>
          <w:bottom w:w="0" w:type="dxa"/>
          <w:right w:w="0" w:type="dxa"/>
        </w:tblCellMar>
      </w:tblPr>
      <w:tblGrid>
        <w:gridCol w:w="3290"/>
        <w:gridCol w:w="60"/>
        <w:gridCol w:w="208"/>
        <w:gridCol w:w="981"/>
        <w:gridCol w:w="60"/>
        <w:gridCol w:w="60"/>
        <w:gridCol w:w="277"/>
        <w:gridCol w:w="1077"/>
        <w:gridCol w:w="60"/>
        <w:gridCol w:w="60"/>
        <w:gridCol w:w="208"/>
        <w:gridCol w:w="981"/>
        <w:gridCol w:w="60"/>
        <w:gridCol w:w="60"/>
        <w:gridCol w:w="208"/>
        <w:gridCol w:w="981"/>
        <w:gridCol w:w="60"/>
        <w:gridCol w:w="60"/>
        <w:gridCol w:w="208"/>
        <w:gridCol w:w="981"/>
        <w:gridCol w:w="80"/>
      </w:tblGrid>
      <w:tr>
        <w:trPr/>
        <w:tc>
          <w:tcPr>
            <w:tcW w:w="3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72"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9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80" w:type="dxa"/>
            <w:tcBorders/>
            <w:shd w:fill="FFFF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2025</w:t>
            </w:r>
          </w:p>
        </w:tc>
        <w:tc>
          <w:tcPr>
            <w:tcW w:w="80" w:type="dxa"/>
            <w:tcBorders/>
            <w:shd w:fill="FFFF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Loans sold:</w:t>
            </w:r>
          </w:p>
        </w:tc>
        <w:tc>
          <w:tcPr>
            <w:tcW w:w="60" w:type="dxa"/>
            <w:tcBorders/>
            <w:shd w:fill="FFFFFF" w:val="clear"/>
            <w:vAlign w:val="center"/>
          </w:tcPr>
          <w:p>
            <w:pPr>
              <w:pStyle w:val="TableContents"/>
              <w:bidi w:val="0"/>
              <w:spacing w:before="0" w:after="283"/>
              <w:ind w:left="0" w:right="0" w:hanging="0"/>
              <w:jc w:val="left"/>
              <w:rPr/>
            </w:pPr>
            <w:r>
              <w:rPr/>
              <w:t> </w:t>
            </w:r>
          </w:p>
        </w:tc>
        <w:tc>
          <w:tcPr>
            <w:tcW w:w="6590" w:type="dxa"/>
            <w:gridSpan w:val="18"/>
            <w:tcBorders/>
            <w:shd w:fill="FFFFFF" w:val="clear"/>
            <w:vAlign w:val="center"/>
          </w:tcPr>
          <w:p>
            <w:pPr>
              <w:pStyle w:val="TableContents"/>
              <w:bidi w:val="0"/>
              <w:spacing w:before="0" w:after="283"/>
              <w:jc w:val="center"/>
              <w:rPr>
                <w:rFonts w:ascii="Times New Roman;Times;serif" w:hAnsi="Times New Roman;Times;serif"/>
                <w:b/>
                <w:i/>
                <w:sz w:val="20"/>
              </w:rPr>
            </w:pPr>
            <w:r>
              <w:rPr>
                <w:rFonts w:ascii="Times New Roman;Times;serif" w:hAnsi="Times New Roman;Times;serif"/>
                <w:b/>
                <w:i/>
                <w:sz w:val="20"/>
              </w:rPr>
              <w:t>(dollars in thousands)</w:t>
            </w:r>
          </w:p>
        </w:tc>
        <w:tc>
          <w:tcPr>
            <w:tcW w:w="8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lineRule="auto" w:line="288"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Single-family residential mortgage (1)</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42,108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23,262</w:t>
            </w:r>
          </w:p>
        </w:tc>
        <w:tc>
          <w:tcPr>
            <w:tcW w:w="8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SBA</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ind w:left="0" w:right="0" w:hanging="0"/>
              <w:jc w:val="left"/>
              <w:rPr/>
            </w:pPr>
            <w:r>
              <w:rPr/>
              <w:t> </w:t>
            </w:r>
          </w:p>
        </w:tc>
        <w:tc>
          <w:tcPr>
            <w:tcW w:w="10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6,023</w:t>
            </w:r>
          </w:p>
        </w:tc>
        <w:tc>
          <w:tcPr>
            <w:tcW w:w="8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lineRule="auto" w:line="288"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(2)</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4,579</w:t>
            </w:r>
          </w:p>
        </w:tc>
        <w:tc>
          <w:tcPr>
            <w:tcW w:w="8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59,073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33,864</w:t>
            </w:r>
          </w:p>
        </w:tc>
        <w:tc>
          <w:tcPr>
            <w:tcW w:w="8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Gain (loss) on sale of loans: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lineRule="auto" w:line="288"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Single-family residential mortgage (1)</w:t>
            </w:r>
          </w:p>
        </w:tc>
        <w:tc>
          <w:tcPr>
            <w:tcW w:w="60" w:type="dxa"/>
            <w:tcBorders/>
            <w:shd w:fill="FFFFFF" w:val="clear"/>
            <w:vAlign w:val="center"/>
          </w:tcPr>
          <w:p>
            <w:pPr>
              <w:pStyle w:val="TableContents"/>
              <w:bidi w:val="0"/>
              <w:spacing w:before="0" w:after="283"/>
              <w:ind w:left="0" w:right="0" w:hanging="0"/>
              <w:jc w:val="left"/>
              <w:rPr/>
            </w:pPr>
            <w:r>
              <w:rPr/>
              <w:t> </w:t>
            </w:r>
          </w:p>
        </w:tc>
        <w:tc>
          <w:tcPr>
            <w:tcW w:w="20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w:t>
            </w:r>
          </w:p>
        </w:tc>
        <w:tc>
          <w:tcPr>
            <w:tcW w:w="8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SBA</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ind w:left="0" w:right="0" w:hanging="0"/>
              <w:jc w:val="left"/>
              <w:rPr/>
            </w:pPr>
            <w:r>
              <w:rPr/>
              <w:t> </w:t>
            </w:r>
          </w:p>
        </w:tc>
        <w:tc>
          <w:tcPr>
            <w:tcW w:w="10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w:t>
            </w:r>
          </w:p>
        </w:tc>
        <w:tc>
          <w:tcPr>
            <w:tcW w:w="8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lineRule="auto" w:line="288"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(2)</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3"/>
        <w:gridCol w:w="9937"/>
      </w:tblGrid>
      <w:tr>
        <w:trPr/>
        <w:tc>
          <w:tcPr>
            <w:tcW w:w="75"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6"/>
              </w:rPr>
            </w:pPr>
            <w:r>
              <w:rPr>
                <w:rFonts w:ascii="Times New Roman;Times;serif" w:hAnsi="Times New Roman;Times;serif"/>
                <w:caps w:val="false"/>
                <w:smallCaps w:val="false"/>
                <w:sz w:val="16"/>
              </w:rPr>
              <w:t>(1)</w:t>
            </w:r>
          </w:p>
        </w:tc>
        <w:tc>
          <w:tcPr>
            <w:tcW w:w="993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SFR mortgage loans sold with servicing rights retained were $12.8 million, $3.3 million, and $1.8 million for the three months ended June 30, 2026, March 31, 2026, and June 30, 2025. SFR mortgage loans sold with servicing rights retained were $16.1 million and $2.2 million for the six months ended June 30, 2026 and 2025.</w:t>
            </w:r>
          </w:p>
        </w:tc>
      </w:tr>
      <w:tr>
        <w:trPr/>
        <w:tc>
          <w:tcPr>
            <w:tcW w:w="75"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(2)</w:t>
            </w:r>
          </w:p>
        </w:tc>
        <w:tc>
          <w:tcPr>
            <w:tcW w:w="9937"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Other loans sold in the six months ended June 30, 2025 related to loans sold in the first quarter of 2025, which represented nonperforming loans HFS at December 31, 2024. </w:t>
            </w:r>
          </w:p>
        </w:tc>
      </w:tr>
    </w:tbl>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following table presents information on loan servicing income for the periods indicated: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12"/>
        <w:gridCol w:w="60"/>
        <w:gridCol w:w="313"/>
        <w:gridCol w:w="841"/>
        <w:gridCol w:w="65"/>
        <w:gridCol w:w="65"/>
        <w:gridCol w:w="357"/>
        <w:gridCol w:w="961"/>
        <w:gridCol w:w="65"/>
        <w:gridCol w:w="65"/>
        <w:gridCol w:w="313"/>
        <w:gridCol w:w="841"/>
        <w:gridCol w:w="60"/>
        <w:gridCol w:w="60"/>
        <w:gridCol w:w="237"/>
        <w:gridCol w:w="924"/>
        <w:gridCol w:w="68"/>
        <w:gridCol w:w="68"/>
        <w:gridCol w:w="237"/>
        <w:gridCol w:w="924"/>
        <w:gridCol w:w="69"/>
      </w:tblGrid>
      <w:tr>
        <w:trPr/>
        <w:tc>
          <w:tcPr>
            <w:tcW w:w="36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86"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5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69" w:type="dxa"/>
            <w:tcBorders/>
            <w:shd w:fill="FFFFFF" w:val="clear"/>
            <w:vAlign w:val="center"/>
          </w:tcPr>
          <w:p>
            <w:pPr>
              <w:pStyle w:val="TableContents"/>
              <w:bidi w:val="0"/>
              <w:spacing w:before="0" w:after="283"/>
              <w:jc w:val="left"/>
              <w:rPr/>
            </w:pPr>
            <w:r>
              <w:rPr/>
              <w:t> </w:t>
            </w:r>
          </w:p>
        </w:tc>
      </w:tr>
      <w:tr>
        <w:trPr/>
        <w:tc>
          <w:tcPr>
            <w:tcW w:w="36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131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 2026</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11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16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2025</w:t>
            </w:r>
          </w:p>
        </w:tc>
        <w:tc>
          <w:tcPr>
            <w:tcW w:w="69" w:type="dxa"/>
            <w:tcBorders/>
            <w:shd w:fill="FFFFFF" w:val="clear"/>
            <w:vAlign w:val="center"/>
          </w:tcPr>
          <w:p>
            <w:pPr>
              <w:pStyle w:val="TableContents"/>
              <w:bidi w:val="0"/>
              <w:spacing w:before="0" w:after="283"/>
              <w:jc w:val="left"/>
              <w:rPr/>
            </w:pPr>
            <w:r>
              <w:rPr/>
              <w:t> </w:t>
            </w:r>
          </w:p>
        </w:tc>
      </w:tr>
      <w:tr>
        <w:trPr/>
        <w:tc>
          <w:tcPr>
            <w:tcW w:w="361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Loan servicing income, net of amortization:</w:t>
            </w:r>
          </w:p>
        </w:tc>
        <w:tc>
          <w:tcPr>
            <w:tcW w:w="60" w:type="dxa"/>
            <w:tcBorders/>
            <w:shd w:fill="FFFFFF" w:val="clear"/>
            <w:vAlign w:val="center"/>
          </w:tcPr>
          <w:p>
            <w:pPr>
              <w:pStyle w:val="TableContents"/>
              <w:bidi w:val="0"/>
              <w:spacing w:before="0" w:after="283"/>
              <w:ind w:left="0" w:right="0" w:hanging="0"/>
              <w:jc w:val="left"/>
              <w:rPr/>
            </w:pPr>
            <w:r>
              <w:rPr/>
              <w:t> </w:t>
            </w:r>
          </w:p>
        </w:tc>
        <w:tc>
          <w:tcPr>
            <w:tcW w:w="6464" w:type="dxa"/>
            <w:gridSpan w:val="18"/>
            <w:tcBorders/>
            <w:shd w:fill="FFFFFF" w:val="clear"/>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(dollars in thousands)</w:t>
            </w:r>
          </w:p>
        </w:tc>
        <w:tc>
          <w:tcPr>
            <w:tcW w:w="69" w:type="dxa"/>
            <w:tcBorders/>
            <w:shd w:fill="FFFFFF" w:val="clear"/>
            <w:vAlign w:val="center"/>
          </w:tcPr>
          <w:p>
            <w:pPr>
              <w:pStyle w:val="TableContents"/>
              <w:bidi w:val="0"/>
              <w:spacing w:before="0" w:after="283"/>
              <w:jc w:val="left"/>
              <w:rPr/>
            </w:pPr>
            <w:r>
              <w:rPr/>
              <w:t> </w:t>
            </w:r>
          </w:p>
        </w:tc>
      </w:tr>
      <w:tr>
        <w:trPr/>
        <w:tc>
          <w:tcPr>
            <w:tcW w:w="3612"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Single-family residential loans</w:t>
            </w:r>
          </w:p>
        </w:tc>
        <w:tc>
          <w:tcPr>
            <w:tcW w:w="60" w:type="dxa"/>
            <w:tcBorders/>
            <w:shd w:fill="CCEEFF" w:val="clear"/>
            <w:vAlign w:val="center"/>
          </w:tcPr>
          <w:p>
            <w:pPr>
              <w:pStyle w:val="TableContents"/>
              <w:bidi w:val="0"/>
              <w:spacing w:before="0" w:after="283"/>
              <w:ind w:left="0" w:right="0" w:hanging="0"/>
              <w:jc w:val="left"/>
              <w:rPr/>
            </w:pPr>
            <w:r>
              <w:rPr/>
              <w:t> </w:t>
            </w:r>
          </w:p>
        </w:tc>
        <w:tc>
          <w:tcPr>
            <w:tcW w:w="31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3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31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696</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2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794</w:t>
            </w:r>
          </w:p>
        </w:tc>
        <w:tc>
          <w:tcPr>
            <w:tcW w:w="69" w:type="dxa"/>
            <w:tcBorders/>
            <w:shd w:fill="CCEEFF" w:val="clear"/>
            <w:vAlign w:val="center"/>
          </w:tcPr>
          <w:p>
            <w:pPr>
              <w:pStyle w:val="TableContents"/>
              <w:bidi w:val="0"/>
              <w:spacing w:before="0" w:after="283"/>
              <w:jc w:val="left"/>
              <w:rPr/>
            </w:pPr>
            <w:r>
              <w:rPr/>
              <w:t> </w:t>
            </w:r>
          </w:p>
        </w:tc>
      </w:tr>
      <w:tr>
        <w:trPr/>
        <w:tc>
          <w:tcPr>
            <w:tcW w:w="3612"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SBA loans</w:t>
            </w:r>
          </w:p>
        </w:tc>
        <w:tc>
          <w:tcPr>
            <w:tcW w:w="60" w:type="dxa"/>
            <w:tcBorders/>
            <w:shd w:fill="FFFFFF" w:val="clear"/>
            <w:vAlign w:val="center"/>
          </w:tcPr>
          <w:p>
            <w:pPr>
              <w:pStyle w:val="TableContents"/>
              <w:bidi w:val="0"/>
              <w:spacing w:before="0" w:after="283"/>
              <w:jc w:val="left"/>
              <w:rPr/>
            </w:pPr>
            <w:r>
              <w:rPr/>
              <w:t> </w:t>
            </w:r>
          </w:p>
        </w:tc>
        <w:tc>
          <w:tcPr>
            <w:tcW w:w="31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3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31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w:t>
            </w:r>
          </w:p>
        </w:tc>
        <w:tc>
          <w:tcPr>
            <w:tcW w:w="69" w:type="dxa"/>
            <w:tcBorders/>
            <w:shd w:fill="FFFFFF" w:val="clear"/>
            <w:vAlign w:val="center"/>
          </w:tcPr>
          <w:p>
            <w:pPr>
              <w:pStyle w:val="TableContents"/>
              <w:bidi w:val="0"/>
              <w:spacing w:before="0" w:after="283"/>
              <w:jc w:val="left"/>
              <w:rPr/>
            </w:pPr>
            <w:r>
              <w:rPr/>
              <w:t> </w:t>
            </w:r>
          </w:p>
        </w:tc>
      </w:tr>
      <w:tr>
        <w:trPr/>
        <w:tc>
          <w:tcPr>
            <w:tcW w:w="3612" w:type="dxa"/>
            <w:tcBorders/>
            <w:shd w:fill="CCEEFF" w:val="clear"/>
            <w:vAlign w:val="center"/>
          </w:tcPr>
          <w:p>
            <w:pPr>
              <w:pStyle w:val="TableContents"/>
              <w:bidi w:val="0"/>
              <w:spacing w:before="0" w:after="0"/>
              <w:ind w:left="0" w:right="0" w:firstLine="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31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3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504</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31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1,037</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2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1,129</w:t>
            </w:r>
          </w:p>
        </w:tc>
        <w:tc>
          <w:tcPr>
            <w:tcW w:w="6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As of June 30, 2026, we were servicing SFR mortgage loans for other financial institutions, the Federal Home Loan Mortgage Corporation ("FHLMC"), the Federal National Mortgage Association ("FNMA"), and SBA loans. The following table presents loans serviced for others as of the dates indicated:</w:t>
      </w:r>
    </w:p>
    <w:p>
      <w:pPr>
        <w:pStyle w:val="TextBody"/>
        <w:bidi w:val="0"/>
        <w:spacing w:before="0" w:after="0"/>
        <w:ind w:left="0" w:right="0" w:firstLine="540"/>
        <w:jc w:val="left"/>
        <w:rPr>
          <w:caps w:val="false"/>
          <w:smallCaps w:val="false"/>
        </w:rPr>
      </w:pPr>
      <w:r>
        <w:rPr>
          <w:caps w:val="false"/>
          <w:smallCaps w:val="false"/>
        </w:rPr>
        <w:t> </w:t>
      </w:r>
    </w:p>
    <w:tbl>
      <w:tblPr>
        <w:tblW w:w="9666" w:type="dxa"/>
        <w:jc w:val="left"/>
        <w:tblInd w:w="0" w:type="dxa"/>
        <w:tblLayout w:type="fixed"/>
        <w:tblCellMar>
          <w:top w:w="0" w:type="dxa"/>
          <w:left w:w="0" w:type="dxa"/>
          <w:bottom w:w="0" w:type="dxa"/>
          <w:right w:w="0" w:type="dxa"/>
        </w:tblCellMar>
      </w:tblPr>
      <w:tblGrid>
        <w:gridCol w:w="2690"/>
        <w:gridCol w:w="60"/>
        <w:gridCol w:w="181"/>
        <w:gridCol w:w="1008"/>
        <w:gridCol w:w="60"/>
        <w:gridCol w:w="60"/>
        <w:gridCol w:w="206"/>
        <w:gridCol w:w="1148"/>
        <w:gridCol w:w="60"/>
        <w:gridCol w:w="60"/>
        <w:gridCol w:w="181"/>
        <w:gridCol w:w="1008"/>
        <w:gridCol w:w="60"/>
        <w:gridCol w:w="60"/>
        <w:gridCol w:w="236"/>
        <w:gridCol w:w="1118"/>
        <w:gridCol w:w="115"/>
        <w:gridCol w:w="86"/>
        <w:gridCol w:w="191"/>
        <w:gridCol w:w="998"/>
        <w:gridCol w:w="80"/>
      </w:tblGrid>
      <w:tr>
        <w:trPr/>
        <w:tc>
          <w:tcPr>
            <w:tcW w:w="26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72"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of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4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 Compared to</w:t>
            </w:r>
          </w:p>
        </w:tc>
        <w:tc>
          <w:tcPr>
            <w:tcW w:w="80" w:type="dxa"/>
            <w:tcBorders/>
            <w:shd w:fill="FFFF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 2026</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2025</w:t>
            </w:r>
          </w:p>
        </w:tc>
        <w:tc>
          <w:tcPr>
            <w:tcW w:w="80" w:type="dxa"/>
            <w:tcBorders/>
            <w:shd w:fill="FFFFFF" w:val="clear"/>
            <w:vAlign w:val="center"/>
          </w:tcPr>
          <w:p>
            <w:pPr>
              <w:pStyle w:val="TableContents"/>
              <w:bidi w:val="0"/>
              <w:spacing w:before="0" w:after="283"/>
              <w:jc w:val="left"/>
              <w:rPr/>
            </w:pPr>
            <w:r>
              <w:rPr/>
              <w:t> </w:t>
            </w:r>
          </w:p>
        </w:tc>
      </w:tr>
      <w:tr>
        <w:trPr/>
        <w:tc>
          <w:tcPr>
            <w:tcW w:w="269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Loans serviced:</w:t>
            </w:r>
          </w:p>
        </w:tc>
        <w:tc>
          <w:tcPr>
            <w:tcW w:w="60" w:type="dxa"/>
            <w:tcBorders/>
            <w:shd w:fill="FFFFFF" w:val="clear"/>
            <w:vAlign w:val="center"/>
          </w:tcPr>
          <w:p>
            <w:pPr>
              <w:pStyle w:val="TableContents"/>
              <w:bidi w:val="0"/>
              <w:spacing w:before="0" w:after="283"/>
              <w:ind w:left="0" w:right="0" w:hanging="0"/>
              <w:jc w:val="left"/>
              <w:rPr/>
            </w:pPr>
            <w:r>
              <w:rPr/>
              <w:t> </w:t>
            </w:r>
          </w:p>
        </w:tc>
        <w:tc>
          <w:tcPr>
            <w:tcW w:w="6836" w:type="dxa"/>
            <w:gridSpan w:val="18"/>
            <w:tcBorders/>
            <w:shd w:fill="FFFFFF" w:val="clear"/>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(dollars in thousands)</w:t>
            </w:r>
          </w:p>
        </w:tc>
        <w:tc>
          <w:tcPr>
            <w:tcW w:w="80"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Single-family residential loans</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803,175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788,514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877,300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14,661</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9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(74,125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9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SBA loans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96,652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11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91,164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91,866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ind w:left="0" w:right="0" w:hanging="0"/>
              <w:jc w:val="left"/>
              <w:rPr/>
            </w:pPr>
            <w:r>
              <w:rPr/>
              <w:t> </w:t>
            </w:r>
          </w:p>
        </w:tc>
        <w:tc>
          <w:tcPr>
            <w:tcW w:w="11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5,488</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9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4,786</w:t>
            </w:r>
          </w:p>
        </w:tc>
        <w:tc>
          <w:tcPr>
            <w:tcW w:w="80"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Construction loans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11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ind w:left="0" w:right="0" w:hanging="0"/>
              <w:jc w:val="left"/>
              <w:rPr/>
            </w:pPr>
            <w:r>
              <w:rPr/>
              <w:t> </w:t>
            </w:r>
          </w:p>
        </w:tc>
        <w:tc>
          <w:tcPr>
            <w:tcW w:w="11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9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1,229</w:t>
            </w:r>
          </w:p>
        </w:tc>
        <w:tc>
          <w:tcPr>
            <w:tcW w:w="80"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real estate loans</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1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90"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911,733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891,413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979,880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20,320</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(68,147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firstLine="540"/>
        <w:jc w:val="both"/>
        <w:rPr>
          <w:rFonts w:ascii="Times New Roman" w:hAnsi="Times New Roman"/>
          <w:b/>
          <w:i/>
          <w:caps w:val="false"/>
          <w:smallCaps w:val="false"/>
          <w:sz w:val="20"/>
        </w:rPr>
      </w:pPr>
      <w:bookmarkStart w:id="11" w:name="Noninterest_expense"/>
      <w:bookmarkEnd w:id="11"/>
      <w:r>
        <w:rPr>
          <w:rFonts w:ascii="Times New Roman" w:hAnsi="Times New Roman"/>
          <w:b/>
          <w:i/>
          <w:caps w:val="false"/>
          <w:smallCaps w:val="false"/>
          <w:sz w:val="20"/>
        </w:rPr>
        <w:t>Noninterest Expense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following table presents major components of our noninterest expense for the periods presented:</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3215"/>
        <w:gridCol w:w="60"/>
        <w:gridCol w:w="208"/>
        <w:gridCol w:w="981"/>
        <w:gridCol w:w="60"/>
        <w:gridCol w:w="60"/>
        <w:gridCol w:w="236"/>
        <w:gridCol w:w="1118"/>
        <w:gridCol w:w="60"/>
        <w:gridCol w:w="60"/>
        <w:gridCol w:w="208"/>
        <w:gridCol w:w="981"/>
        <w:gridCol w:w="60"/>
        <w:gridCol w:w="60"/>
        <w:gridCol w:w="208"/>
        <w:gridCol w:w="981"/>
        <w:gridCol w:w="60"/>
        <w:gridCol w:w="60"/>
        <w:gridCol w:w="208"/>
        <w:gridCol w:w="981"/>
        <w:gridCol w:w="60"/>
      </w:tblGrid>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972"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9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60"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2025</w:t>
            </w:r>
          </w:p>
        </w:tc>
        <w:tc>
          <w:tcPr>
            <w:tcW w:w="60" w:type="dxa"/>
            <w:tcBorders/>
            <w:vAlign w:val="center"/>
          </w:tcPr>
          <w:p>
            <w:pPr>
              <w:pStyle w:val="TableContents"/>
              <w:bidi w:val="0"/>
              <w:spacing w:before="0" w:after="283"/>
              <w:jc w:val="left"/>
              <w:rPr/>
            </w:pPr>
            <w:r>
              <w:rPr/>
              <w:t> </w:t>
            </w:r>
          </w:p>
        </w:tc>
      </w:tr>
      <w:tr>
        <w:trPr/>
        <w:tc>
          <w:tcPr>
            <w:tcW w:w="321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Noninterest expense:</w:t>
            </w:r>
          </w:p>
        </w:tc>
        <w:tc>
          <w:tcPr>
            <w:tcW w:w="60" w:type="dxa"/>
            <w:tcBorders/>
            <w:vAlign w:val="center"/>
          </w:tcPr>
          <w:p>
            <w:pPr>
              <w:pStyle w:val="TableContents"/>
              <w:bidi w:val="0"/>
              <w:spacing w:before="0" w:after="283"/>
              <w:ind w:left="0" w:right="0" w:hanging="0"/>
              <w:jc w:val="left"/>
              <w:rPr/>
            </w:pPr>
            <w:r>
              <w:rPr/>
              <w:t> </w:t>
            </w:r>
          </w:p>
        </w:tc>
        <w:tc>
          <w:tcPr>
            <w:tcW w:w="6590" w:type="dxa"/>
            <w:gridSpan w:val="18"/>
            <w:tcBorders/>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(dollars in thousands)</w:t>
            </w:r>
          </w:p>
        </w:tc>
        <w:tc>
          <w:tcPr>
            <w:tcW w:w="60"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Salaries and employee benefits</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21,723</w:t>
            </w:r>
          </w:p>
        </w:tc>
        <w:tc>
          <w:tcPr>
            <w:tcW w:w="60"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Occupancy and equipment expenses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ind w:left="0" w:right="0" w:hanging="0"/>
              <w:jc w:val="left"/>
              <w:rPr/>
            </w:pPr>
            <w:r>
              <w:rPr/>
              <w:t> </w:t>
            </w:r>
          </w:p>
        </w:tc>
        <w:tc>
          <w:tcPr>
            <w:tcW w:w="11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4,784</w:t>
            </w:r>
          </w:p>
        </w:tc>
        <w:tc>
          <w:tcPr>
            <w:tcW w:w="60"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Data processing</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ind w:left="0" w:right="0" w:hanging="0"/>
              <w:jc w:val="left"/>
              <w:rPr/>
            </w:pPr>
            <w:r>
              <w:rPr/>
              <w:t> </w:t>
            </w:r>
          </w:p>
        </w:tc>
        <w:tc>
          <w:tcPr>
            <w:tcW w:w="11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3,315</w:t>
            </w:r>
          </w:p>
        </w:tc>
        <w:tc>
          <w:tcPr>
            <w:tcW w:w="60"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Legal and professional</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ind w:left="0" w:right="0" w:hanging="0"/>
              <w:jc w:val="left"/>
              <w:rPr/>
            </w:pPr>
            <w:r>
              <w:rPr/>
              <w:t> </w:t>
            </w:r>
          </w:p>
        </w:tc>
        <w:tc>
          <w:tcPr>
            <w:tcW w:w="11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4,419</w:t>
            </w:r>
          </w:p>
        </w:tc>
        <w:tc>
          <w:tcPr>
            <w:tcW w:w="60"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Office expenses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ind w:left="0" w:right="0" w:hanging="0"/>
              <w:jc w:val="left"/>
              <w:rPr/>
            </w:pPr>
            <w:r>
              <w:rPr/>
              <w:t> </w:t>
            </w:r>
          </w:p>
        </w:tc>
        <w:tc>
          <w:tcPr>
            <w:tcW w:w="11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813</w:t>
            </w:r>
          </w:p>
        </w:tc>
        <w:tc>
          <w:tcPr>
            <w:tcW w:w="60"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Marketing and business promotion</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ind w:left="0" w:right="0" w:hanging="0"/>
              <w:jc w:val="left"/>
              <w:rPr/>
            </w:pPr>
            <w:r>
              <w:rPr/>
              <w:t> </w:t>
            </w:r>
          </w:p>
        </w:tc>
        <w:tc>
          <w:tcPr>
            <w:tcW w:w="11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409</w:t>
            </w:r>
          </w:p>
        </w:tc>
        <w:tc>
          <w:tcPr>
            <w:tcW w:w="60"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Insurance and regulatory assessments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ind w:left="0" w:right="0" w:hanging="0"/>
              <w:jc w:val="left"/>
              <w:rPr/>
            </w:pPr>
            <w:r>
              <w:rPr/>
              <w:t> </w:t>
            </w:r>
          </w:p>
        </w:tc>
        <w:tc>
          <w:tcPr>
            <w:tcW w:w="11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1,439</w:t>
            </w:r>
          </w:p>
        </w:tc>
        <w:tc>
          <w:tcPr>
            <w:tcW w:w="60"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Core deposit intangible amortization</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ind w:left="0" w:right="0" w:hanging="0"/>
              <w:jc w:val="left"/>
              <w:rPr/>
            </w:pPr>
            <w:r>
              <w:rPr/>
              <w:t> </w:t>
            </w:r>
          </w:p>
        </w:tc>
        <w:tc>
          <w:tcPr>
            <w:tcW w:w="11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w:t>
            </w:r>
          </w:p>
        </w:tc>
        <w:tc>
          <w:tcPr>
            <w:tcW w:w="60"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expenses</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1,769</w:t>
            </w:r>
          </w:p>
        </w:tc>
        <w:tc>
          <w:tcPr>
            <w:tcW w:w="60"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noninterest expense</w:t>
            </w:r>
          </w:p>
        </w:tc>
        <w:tc>
          <w:tcPr>
            <w:tcW w:w="60" w:type="dxa"/>
            <w:tcBorders/>
            <w:shd w:fill="FFFF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39,015</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 w:hAnsi="Times New Roman"/>
          <w:b/>
          <w:i/>
          <w:caps w:val="false"/>
          <w:smallCaps w:val="false"/>
          <w:sz w:val="20"/>
        </w:rPr>
      </w:pPr>
      <w:r>
        <w:rPr>
          <w:rFonts w:ascii="Times New Roman" w:hAnsi="Times New Roman"/>
          <w:b/>
          <w:i/>
          <w:caps w:val="false"/>
          <w:smallCaps w:val="false"/>
          <w:sz w:val="20"/>
        </w:rPr>
        <w:t>Three Months Ended June 30, 2026 Compared to Three Months Ended March 31, 2026</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Noninterest expense for the second quarter of 2026 was $19.0 million, a decrease of $236,000 from $19.3 million for the first quarter of 2026. The decrease was mainly due to lower salaries and employee benefits of $216,000 due mostly to lower payroll taxes. The efficiency ratio was 57.46% for the second quarter of 2026, compared to 55.41% for the first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b/>
          <w:i/>
          <w:caps w:val="false"/>
          <w:smallCaps w:val="false"/>
          <w:sz w:val="20"/>
        </w:rPr>
      </w:pPr>
      <w:r>
        <w:rPr>
          <w:rFonts w:ascii="Times New Roman" w:hAnsi="Times New Roman"/>
          <w:b/>
          <w:i/>
          <w:caps w:val="false"/>
          <w:smallCaps w:val="false"/>
          <w:sz w:val="20"/>
        </w:rPr>
        <w:t>Three Months Ended June 30, 2026 Compared to Three Months Ended June 30, 2025</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Noninterest expense for the second quarter of 2026 was $19.0 million, a decrease of $1.5 million compared to $20.5 million for the second quarter of 2025, mainly due to a decrease in legal and professional expense. The decrease in legal and professional expense of $1.6 million was due mostly to $1.2 million of professional and advisory costs related to the previously mentioned ERC grant in the second quarter of 2025, along with higher legal costs related to credit, operations, and other corporate governance in the second quarter of 2025. The efficiency ratio was 57.46% for the second quarter of 2026 and 57.22% for the second quarter of 2025.</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b/>
          <w:i/>
          <w:caps w:val="false"/>
          <w:smallCaps w:val="false"/>
          <w:sz w:val="20"/>
        </w:rPr>
      </w:pPr>
      <w:r>
        <w:rPr>
          <w:rFonts w:ascii="Times New Roman" w:hAnsi="Times New Roman"/>
          <w:b/>
          <w:i/>
          <w:caps w:val="false"/>
          <w:smallCaps w:val="false"/>
          <w:sz w:val="20"/>
        </w:rPr>
        <w:t>Six Months Ended June 30, 2026 Compared to Six Months Ended June 30, 2025</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Noninterest expense for the six months ended June 30, 2026 was $38.3 million, a decrease of $735,000 from $39.0 million for the six months ended June 30, 2025. The decrease in noninterest expense was primarily due to a decrease in legal and professional expense of $1.6 million, partially offset by an increase in salaries and employee benefits of $583,000. The decrease in legal and professional expense was due mainly to $1.2 million of ERC advisory costs incurred in the second quarter of 2025 along with higher legal costs related to credit, operations, and other corporate governance. The increase in salaries and employee benefits was due mainly to the impact of annual pay increases. The efficiency ratio was 56.41% for the six months ended June 30, 2026, down from 60.70% for the six months ended June 30, 2025 </w:t>
      </w:r>
      <w:r>
        <w:rPr>
          <w:rFonts w:ascii="Times New Roman" w:hAnsi="Times New Roman"/>
          <w:caps w:val="false"/>
          <w:smallCaps w:val="false"/>
          <w:color w:val="000000"/>
          <w:sz w:val="20"/>
        </w:rPr>
        <w:t>due to the combination of $3.9 million in revenue growth and the decrease in noninterest expense.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Income Tax Expense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recorded an income tax provision of $3.9 million, $4.4 million, and $3.6 million, reflecting an effective tax rate of 28.0%, 28.0%, and 27.8% for the three months ended June 30, 2026, March 31, 2026, and June 30, 2025. We recorded an income tax provision of $8.3 million and $4.5 million, reflecting an effective tax rate of 28.0% and 27.9%, for the six months ended June 30, 2026 and 2025.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41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12" w:name="ANALYSIS_OF_FINANCIAL"/>
      <w:bookmarkEnd w:id="12"/>
      <w:r>
        <w:rPr>
          <w:rFonts w:ascii="Times New Roman" w:hAnsi="Times New Roman"/>
          <w:b/>
          <w:caps w:val="false"/>
          <w:smallCaps w:val="false"/>
          <w:sz w:val="20"/>
        </w:rPr>
        <w:t>ANALYSIS OF FINANCIAL CONDITION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Total Assets.</w:t>
      </w:r>
      <w:r>
        <w:rPr>
          <w:rFonts w:ascii="Times New Roman" w:hAnsi="Times New Roman"/>
          <w:caps w:val="false"/>
          <w:smallCaps w:val="false"/>
          <w:sz w:val="20"/>
        </w:rPr>
        <w:t xml:space="preserve"> At June 30, 2026, total assets were $4.3 billion, an increase of $66.7 million, from total assets of $4.2 billion  at December 31, 2025. The increase was primarily due to a $70.7 million increase in cash and cash equivalents.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Cash and Cash Equivalents. </w:t>
      </w:r>
      <w:r>
        <w:rPr>
          <w:rFonts w:ascii="Times New Roman" w:hAnsi="Times New Roman"/>
          <w:caps w:val="false"/>
          <w:smallCaps w:val="false"/>
          <w:sz w:val="20"/>
        </w:rPr>
        <w:t>Cash and cash equivalents increased $70.7 million, or 33%, to $283.0 million as of June 30, 2026 as compared to $212.3 million at December 31, 2025. A portion of this cash was held in anticipation of the $40.0 million redemption of subordinated notes on July 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Investment Securities</w:t>
      </w:r>
      <w:r>
        <w:rPr>
          <w:rFonts w:ascii="Times New Roman" w:hAnsi="Times New Roman"/>
          <w:caps w:val="false"/>
          <w:smallCaps w:val="false"/>
          <w:sz w:val="20"/>
        </w:rPr>
        <w:t>. We manage our securities portfolio and cash to maintain adequate liquidity and to ensure the safety and preservation of invested principal, with a secondary focus on yield and returns. Specific goals of our investment portfolio include:</w:t>
      </w:r>
    </w:p>
    <w:p>
      <w:pPr>
        <w:pStyle w:val="TextBody"/>
        <w:bidi w:val="0"/>
        <w:spacing w:before="0" w:after="0"/>
        <w:ind w:left="0" w:right="0" w:firstLine="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360" w:right="0" w:hanging="0"/>
              <w:jc w:val="righ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providing a ready source of balance sheet liquidity to ensure adequate availability of funds to meet fluctuations in loan demand, deposit balances and other changes in balance sheet volumes and composition;</w:t>
            </w:r>
          </w:p>
        </w:tc>
      </w:tr>
    </w:tbl>
    <w:tbl>
      <w:tblPr>
        <w:tblW w:w="9490" w:type="dxa"/>
        <w:jc w:val="left"/>
        <w:tblInd w:w="0" w:type="dxa"/>
        <w:tblLayout w:type="fixed"/>
        <w:tblCellMar>
          <w:top w:w="0" w:type="dxa"/>
          <w:left w:w="0" w:type="dxa"/>
          <w:bottom w:w="0" w:type="dxa"/>
          <w:right w:w="0" w:type="dxa"/>
        </w:tblCellMar>
      </w:tblPr>
      <w:tblGrid>
        <w:gridCol w:w="75"/>
        <w:gridCol w:w="170"/>
        <w:gridCol w:w="92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serving as a means for diversification of our assets with respect to credit quality, maturity and other attributes; and</w:t>
            </w:r>
          </w:p>
        </w:tc>
      </w:tr>
    </w:tbl>
    <w:tbl>
      <w:tblPr>
        <w:tblW w:w="7975" w:type="dxa"/>
        <w:jc w:val="left"/>
        <w:tblInd w:w="0" w:type="dxa"/>
        <w:tblLayout w:type="fixed"/>
        <w:tblCellMar>
          <w:top w:w="0" w:type="dxa"/>
          <w:left w:w="0" w:type="dxa"/>
          <w:bottom w:w="0" w:type="dxa"/>
          <w:right w:w="0" w:type="dxa"/>
        </w:tblCellMar>
      </w:tblPr>
      <w:tblGrid>
        <w:gridCol w:w="75"/>
        <w:gridCol w:w="170"/>
        <w:gridCol w:w="77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serving as a tool for modifying our interest rate risk profile pursuant to our established policies.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investment portfolio is comprised primarily of U.S. government and SBA agency securities, mortgage-backed securities ("MBS") backed by government-sponsored entities, collateral mortgage obligations ("CMO") and commercial paper.</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investment policy is reviewed annually by our board of directors. Overall investment goals are established by our board of directors, Chief Executive Officer (“CEO”), Chief Financial Officer (“CFO”) and members of our Asset Liability Committee (“ALCO”) of our board of directors. Our board of directors has delegated the responsibility of monitoring our investment activities to our ALCO. Day-to-day activities pertaining to the securities portfolio are conducted under the supervision of our CEO and CFO. We actively monitor our investments on an ongoing basis to identify any material changes in the securities. We monitor our securities portfolio to ensure it has adequate credit support and consider the lowest credit rating for identification of potential credit impairment.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following table presents the book value of each category of securities and the percentage each category represents of total of securities as of the dates indicated. The book value for debt securities classified as AFS is reflected at fair market value and the book value for securities classified as HTM is reflected at amortized cost.</w:t>
      </w:r>
    </w:p>
    <w:p>
      <w:pPr>
        <w:pStyle w:val="TextBody"/>
        <w:bidi w:val="0"/>
        <w:spacing w:before="0" w:after="0"/>
        <w:ind w:left="0" w:right="0" w:firstLine="540"/>
        <w:jc w:val="both"/>
        <w:rPr>
          <w:caps w:val="false"/>
          <w:smallCaps w:val="false"/>
        </w:rPr>
      </w:pPr>
      <w:r>
        <w:rPr>
          <w:caps w:val="false"/>
          <w:smallCaps w:val="false"/>
        </w:rPr>
        <w:t> </w:t>
      </w:r>
    </w:p>
    <w:tbl>
      <w:tblPr>
        <w:tblW w:w="8495" w:type="dxa"/>
        <w:jc w:val="left"/>
        <w:tblInd w:w="0" w:type="dxa"/>
        <w:tblLayout w:type="fixed"/>
        <w:tblCellMar>
          <w:top w:w="0" w:type="dxa"/>
          <w:left w:w="0" w:type="dxa"/>
          <w:bottom w:w="0" w:type="dxa"/>
          <w:right w:w="0" w:type="dxa"/>
        </w:tblCellMar>
      </w:tblPr>
      <w:tblGrid>
        <w:gridCol w:w="4145"/>
        <w:gridCol w:w="60"/>
        <w:gridCol w:w="125"/>
        <w:gridCol w:w="695"/>
        <w:gridCol w:w="60"/>
        <w:gridCol w:w="60"/>
        <w:gridCol w:w="102"/>
        <w:gridCol w:w="832"/>
        <w:gridCol w:w="185"/>
        <w:gridCol w:w="60"/>
        <w:gridCol w:w="138"/>
        <w:gridCol w:w="767"/>
        <w:gridCol w:w="66"/>
        <w:gridCol w:w="66"/>
        <w:gridCol w:w="102"/>
        <w:gridCol w:w="832"/>
        <w:gridCol w:w="200"/>
      </w:tblGrid>
      <w:tr>
        <w:trPr/>
        <w:tc>
          <w:tcPr>
            <w:tcW w:w="4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7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7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2025</w:t>
            </w:r>
          </w:p>
        </w:tc>
        <w:tc>
          <w:tcPr>
            <w:tcW w:w="20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 Total</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 Total</w:t>
            </w:r>
          </w:p>
        </w:tc>
        <w:tc>
          <w:tcPr>
            <w:tcW w:w="20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4145" w:type="dxa"/>
            <w:tcBorders/>
            <w:shd w:fill="FFFFFF" w:val="cle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Securities, available for sale, at fair value</w:t>
            </w:r>
          </w:p>
        </w:tc>
        <w:tc>
          <w:tcPr>
            <w:tcW w:w="60" w:type="dxa"/>
            <w:tcBorders/>
            <w:shd w:fill="FFFFFF" w:val="clear"/>
            <w:vAlign w:val="center"/>
          </w:tcPr>
          <w:p>
            <w:pPr>
              <w:pStyle w:val="TableContents"/>
              <w:bidi w:val="0"/>
              <w:spacing w:before="0" w:after="0"/>
              <w:ind w:left="0" w:right="0" w:hanging="0"/>
              <w:jc w:val="left"/>
              <w:rPr/>
            </w:pPr>
            <w:r>
              <w:rPr/>
              <w:t> </w:t>
            </w:r>
          </w:p>
        </w:tc>
        <w:tc>
          <w:tcPr>
            <w:tcW w:w="4290" w:type="dxa"/>
            <w:gridSpan w:val="15"/>
            <w:tcBorders/>
            <w:shd w:fill="FFFFFF" w:val="clear"/>
            <w:vAlign w:val="center"/>
          </w:tcPr>
          <w:p>
            <w:pPr>
              <w:pStyle w:val="TableContents"/>
              <w:bidi w:val="0"/>
              <w:spacing w:before="0" w:after="0"/>
              <w:jc w:val="center"/>
              <w:rPr>
                <w:rFonts w:ascii="Times New Roman;Times;serif" w:hAnsi="Times New Roman;Times;serif"/>
                <w:b/>
                <w:i/>
                <w:sz w:val="20"/>
              </w:rPr>
            </w:pPr>
            <w:r>
              <w:rPr>
                <w:rFonts w:ascii="Times New Roman;Times;serif" w:hAnsi="Times New Roman;Times;serif"/>
                <w:b/>
                <w:i/>
                <w:sz w:val="20"/>
              </w:rPr>
              <w:t>(dollars in thousands)</w:t>
            </w:r>
          </w:p>
        </w:tc>
      </w:tr>
      <w:tr>
        <w:trPr/>
        <w:tc>
          <w:tcPr>
            <w:tcW w:w="41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Government agency securities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22,705</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SBA agency securities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7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21,180</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MBS: Residential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88,810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7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87,178</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MBS: Commercial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7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4,977</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CMO: Residential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105,867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7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112,495</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CMO: Commercial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7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100,777</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paper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49,663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7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19,948</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45" w:type="dxa"/>
            <w:tcBorders/>
            <w:shd w:fill="FFFF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debt securities (1)</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7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28,429</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Municipal tax-exempt securities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9,757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9,515</w:t>
            </w:r>
          </w:p>
        </w:tc>
        <w:tc>
          <w:tcPr>
            <w:tcW w:w="6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20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4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securities, available for sale, at fair value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407,160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99.0</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407,204</w:t>
            </w:r>
          </w:p>
        </w:tc>
        <w:tc>
          <w:tcPr>
            <w:tcW w:w="6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99.0</w:t>
            </w:r>
          </w:p>
        </w:tc>
        <w:tc>
          <w:tcPr>
            <w:tcW w:w="20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45" w:type="dxa"/>
            <w:tcBorders/>
            <w:shd w:fill="CCEE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Securities, held to maturity, at amortized cost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Municipal tax-exempt securities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4,184</w:t>
            </w:r>
          </w:p>
        </w:tc>
        <w:tc>
          <w:tcPr>
            <w:tcW w:w="6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20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securities, held to maturity, at amortized cost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4,184</w:t>
            </w:r>
          </w:p>
        </w:tc>
        <w:tc>
          <w:tcPr>
            <w:tcW w:w="6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20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4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securities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411,341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411,388</w:t>
            </w:r>
          </w:p>
        </w:tc>
        <w:tc>
          <w:tcPr>
            <w:tcW w:w="6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0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HorizontalLine"/>
        <w:pBdr>
          <w:bottom w:val="double" w:sz="2" w:space="0" w:color="808080"/>
        </w:pBdr>
        <w:bidi w:val="0"/>
        <w:spacing w:before="0" w:after="283"/>
        <w:jc w:val="left"/>
        <w:rPr/>
      </w:pPr>
      <w:r>
        <w:rPr/>
      </w:r>
    </w:p>
    <w:tbl>
      <w:tblPr>
        <w:tblW w:w="6550" w:type="dxa"/>
        <w:jc w:val="left"/>
        <w:tblInd w:w="0" w:type="dxa"/>
        <w:tblLayout w:type="fixed"/>
        <w:tblCellMar>
          <w:top w:w="0" w:type="dxa"/>
          <w:left w:w="0" w:type="dxa"/>
          <w:bottom w:w="0" w:type="dxa"/>
          <w:right w:w="0" w:type="dxa"/>
        </w:tblCellMar>
      </w:tblPr>
      <w:tblGrid>
        <w:gridCol w:w="60"/>
        <w:gridCol w:w="230"/>
        <w:gridCol w:w="626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both"/>
              <w:rPr>
                <w:rFonts w:ascii="Times New Roman" w:hAnsi="Times New Roman"/>
                <w:caps w:val="false"/>
                <w:smallCaps w:val="false"/>
                <w:sz w:val="16"/>
              </w:rPr>
            </w:pPr>
            <w:r>
              <w:rPr>
                <w:rFonts w:ascii="Times New Roman" w:hAnsi="Times New Roman"/>
                <w:caps w:val="false"/>
                <w:smallCaps w:val="false"/>
                <w:sz w:val="16"/>
              </w:rPr>
              <w:t>(1)</w:t>
            </w:r>
          </w:p>
        </w:tc>
        <w:tc>
          <w:tcPr>
            <w:tcW w:w="6260" w:type="dxa"/>
            <w:tcBorders/>
            <w:vAlign w:val="center"/>
          </w:tcPr>
          <w:p>
            <w:pPr>
              <w:pStyle w:val="TableContents"/>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Comprised of corporate note securities and financial institution subordinated debentures.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42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tables below set forth investment debt securities AFS and HTM as of the dates indicated.</w:t>
      </w:r>
    </w:p>
    <w:p>
      <w:pPr>
        <w:pStyle w:val="TextBody"/>
        <w:bidi w:val="0"/>
        <w:spacing w:before="0" w:after="0"/>
        <w:ind w:left="0" w:right="0" w:firstLine="540"/>
        <w:jc w:val="both"/>
        <w:rPr>
          <w:caps w:val="false"/>
          <w:smallCaps w:val="false"/>
        </w:rPr>
      </w:pPr>
      <w:r>
        <w:rPr>
          <w:caps w:val="false"/>
          <w:smallCaps w:val="false"/>
        </w:rPr>
        <w:t> </w:t>
      </w:r>
    </w:p>
    <w:tbl>
      <w:tblPr>
        <w:tblW w:w="7863" w:type="dxa"/>
        <w:jc w:val="left"/>
        <w:tblInd w:w="0" w:type="dxa"/>
        <w:tblLayout w:type="fixed"/>
        <w:tblCellMar>
          <w:top w:w="0" w:type="dxa"/>
          <w:left w:w="0" w:type="dxa"/>
          <w:bottom w:w="0" w:type="dxa"/>
          <w:right w:w="0" w:type="dxa"/>
        </w:tblCellMar>
      </w:tblPr>
      <w:tblGrid>
        <w:gridCol w:w="2645"/>
        <w:gridCol w:w="60"/>
        <w:gridCol w:w="140"/>
        <w:gridCol w:w="780"/>
        <w:gridCol w:w="60"/>
        <w:gridCol w:w="60"/>
        <w:gridCol w:w="304"/>
        <w:gridCol w:w="1185"/>
        <w:gridCol w:w="60"/>
        <w:gridCol w:w="60"/>
        <w:gridCol w:w="239"/>
        <w:gridCol w:w="1250"/>
        <w:gridCol w:w="80"/>
        <w:gridCol w:w="60"/>
        <w:gridCol w:w="125"/>
        <w:gridCol w:w="695"/>
        <w:gridCol w:w="60"/>
      </w:tblGrid>
      <w:tr>
        <w:trPr/>
        <w:tc>
          <w:tcPr>
            <w:tcW w:w="26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Amortized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Unrealized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Unrealized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w:t>
            </w:r>
          </w:p>
        </w:tc>
        <w:tc>
          <w:tcPr>
            <w:tcW w:w="60" w:type="dxa"/>
            <w:tcBorders/>
            <w:shd w:fill="FFFFFF" w:val="clear"/>
            <w:vAlign w:val="center"/>
          </w:tcPr>
          <w:p>
            <w:pPr>
              <w:pStyle w:val="TableContents"/>
              <w:bidi w:val="0"/>
              <w:spacing w:before="0" w:after="283"/>
              <w:jc w:val="left"/>
              <w:rPr/>
            </w:pPr>
            <w:r>
              <w:rPr/>
              <w:t> </w:t>
            </w:r>
          </w:p>
        </w:tc>
      </w:tr>
      <w:tr>
        <w:trPr/>
        <w:tc>
          <w:tcPr>
            <w:tcW w:w="26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Cost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Gains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4958" w:type="dxa"/>
            <w:gridSpan w:val="13"/>
            <w:tcBorders/>
            <w:shd w:fill="FFFFFF" w:val="clear"/>
            <w:vAlign w:val="center"/>
          </w:tcPr>
          <w:p>
            <w:pPr>
              <w:pStyle w:val="TableContents"/>
              <w:bidi w:val="0"/>
              <w:spacing w:before="0" w:after="0"/>
              <w:jc w:val="center"/>
              <w:rPr>
                <w:rFonts w:ascii="Times New Roman;Times;serif" w:hAnsi="Times New Roman;Times;serif"/>
                <w:b/>
                <w:i/>
                <w:sz w:val="20"/>
              </w:rPr>
            </w:pPr>
            <w:r>
              <w:rPr>
                <w:rFonts w:ascii="Times New Roman;Times;serif" w:hAnsi="Times New Roman;Times;serif"/>
                <w:b/>
                <w:i/>
                <w:sz w:val="20"/>
              </w:rPr>
              <w:t>(dollars in thousands)</w:t>
            </w:r>
          </w:p>
        </w:tc>
        <w:tc>
          <w:tcPr>
            <w:tcW w:w="60"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Available for sale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Government agency securities</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20,282</w:t>
            </w:r>
          </w:p>
        </w:tc>
        <w:tc>
          <w:tcPr>
            <w:tcW w:w="60"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SBA agency securities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ind w:left="0" w:right="0" w:hanging="0"/>
              <w:jc w:val="left"/>
              <w:rPr/>
            </w:pPr>
            <w:r>
              <w:rPr/>
              <w:t> </w:t>
            </w:r>
          </w:p>
        </w:tc>
        <w:tc>
          <w:tcPr>
            <w:tcW w:w="118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ind w:left="0" w:right="0" w:hanging="0"/>
              <w:jc w:val="left"/>
              <w:rPr/>
            </w:pPr>
            <w:r>
              <w:rPr/>
              <w:t> </w:t>
            </w:r>
          </w:p>
        </w:tc>
        <w:tc>
          <w:tcPr>
            <w:tcW w:w="12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19,319</w:t>
            </w:r>
          </w:p>
        </w:tc>
        <w:tc>
          <w:tcPr>
            <w:tcW w:w="60"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MBS: Residential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93,622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ind w:left="0" w:right="0" w:hanging="0"/>
              <w:jc w:val="left"/>
              <w:rPr/>
            </w:pPr>
            <w:r>
              <w:rPr/>
              <w:t> </w:t>
            </w:r>
          </w:p>
        </w:tc>
        <w:tc>
          <w:tcPr>
            <w:tcW w:w="11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ind w:left="0" w:right="0" w:hanging="0"/>
              <w:jc w:val="left"/>
              <w:rPr/>
            </w:pPr>
            <w:r>
              <w:rPr/>
              <w:t> </w:t>
            </w:r>
          </w:p>
        </w:tc>
        <w:tc>
          <w:tcPr>
            <w:tcW w:w="12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(5,013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88,810</w:t>
            </w:r>
          </w:p>
        </w:tc>
        <w:tc>
          <w:tcPr>
            <w:tcW w:w="60"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MBS: Commercial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9,965</w:t>
            </w:r>
          </w:p>
        </w:tc>
        <w:tc>
          <w:tcPr>
            <w:tcW w:w="60"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CMO: Residential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115,089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ind w:left="0" w:right="0" w:hanging="0"/>
              <w:jc w:val="left"/>
              <w:rPr/>
            </w:pPr>
            <w:r>
              <w:rPr/>
              <w:t> </w:t>
            </w:r>
          </w:p>
        </w:tc>
        <w:tc>
          <w:tcPr>
            <w:tcW w:w="11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ind w:left="0" w:right="0" w:hanging="0"/>
              <w:jc w:val="left"/>
              <w:rPr/>
            </w:pPr>
            <w:r>
              <w:rPr/>
              <w:t> </w:t>
            </w:r>
          </w:p>
        </w:tc>
        <w:tc>
          <w:tcPr>
            <w:tcW w:w="12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(9,381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105,867</w:t>
            </w:r>
          </w:p>
        </w:tc>
        <w:tc>
          <w:tcPr>
            <w:tcW w:w="60"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CMO: Commercial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82,065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ind w:left="0" w:right="0" w:hanging="0"/>
              <w:jc w:val="left"/>
              <w:rPr/>
            </w:pPr>
            <w:r>
              <w:rPr/>
              <w:t> </w:t>
            </w:r>
          </w:p>
        </w:tc>
        <w:tc>
          <w:tcPr>
            <w:tcW w:w="11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ind w:left="0" w:right="0" w:hanging="0"/>
              <w:jc w:val="left"/>
              <w:rPr/>
            </w:pPr>
            <w:r>
              <w:rPr/>
              <w:t> </w:t>
            </w:r>
          </w:p>
        </w:tc>
        <w:tc>
          <w:tcPr>
            <w:tcW w:w="12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80,035</w:t>
            </w:r>
          </w:p>
        </w:tc>
        <w:tc>
          <w:tcPr>
            <w:tcW w:w="60"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paper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49,672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ind w:left="0" w:right="0" w:hanging="0"/>
              <w:jc w:val="left"/>
              <w:rPr/>
            </w:pPr>
            <w:r>
              <w:rPr/>
              <w:t> </w:t>
            </w:r>
          </w:p>
        </w:tc>
        <w:tc>
          <w:tcPr>
            <w:tcW w:w="118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ind w:left="0" w:right="0" w:hanging="0"/>
              <w:jc w:val="left"/>
              <w:rPr/>
            </w:pPr>
            <w:r>
              <w:rPr/>
              <w:t> </w:t>
            </w:r>
          </w:p>
        </w:tc>
        <w:tc>
          <w:tcPr>
            <w:tcW w:w="12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49,663</w:t>
            </w:r>
          </w:p>
        </w:tc>
        <w:tc>
          <w:tcPr>
            <w:tcW w:w="60"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debt securities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ind w:left="0" w:right="0" w:hanging="0"/>
              <w:jc w:val="left"/>
              <w:rPr/>
            </w:pPr>
            <w:r>
              <w:rPr/>
              <w:t> </w:t>
            </w:r>
          </w:p>
        </w:tc>
        <w:tc>
          <w:tcPr>
            <w:tcW w:w="11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ind w:left="0" w:right="0" w:hanging="0"/>
              <w:jc w:val="left"/>
              <w:rPr/>
            </w:pPr>
            <w:r>
              <w:rPr/>
              <w:t> </w:t>
            </w:r>
          </w:p>
        </w:tc>
        <w:tc>
          <w:tcPr>
            <w:tcW w:w="12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23,462</w:t>
            </w:r>
          </w:p>
        </w:tc>
        <w:tc>
          <w:tcPr>
            <w:tcW w:w="60"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Municipal tax-exempt securities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12,550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9,757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available for sale</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428,022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5"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0"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(21,406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407,160</w:t>
            </w:r>
          </w:p>
        </w:tc>
        <w:tc>
          <w:tcPr>
            <w:tcW w:w="60"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Held to maturity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Municipal tax-exempt securities</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held to maturity</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4,181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5" w:type="dxa"/>
            <w:tcBorders>
              <w:bottom w:val="double" w:sz="6"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0"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4,078</w:t>
            </w:r>
          </w:p>
        </w:tc>
        <w:tc>
          <w:tcPr>
            <w:tcW w:w="60" w:type="dxa"/>
            <w:tcBorders/>
            <w:shd w:fill="FFFFFF" w:val="clear"/>
            <w:vAlign w:val="center"/>
          </w:tcPr>
          <w:p>
            <w:pPr>
              <w:pStyle w:val="TableContents"/>
              <w:bidi w:val="0"/>
              <w:spacing w:before="0" w:after="283"/>
              <w:jc w:val="left"/>
              <w:rPr/>
            </w:pPr>
            <w:r>
              <w:rPr/>
              <w:t> </w:t>
            </w:r>
          </w:p>
        </w:tc>
      </w:tr>
      <w:tr>
        <w:trPr/>
        <w:tc>
          <w:tcPr>
            <w:tcW w:w="26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Available for sale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Government agency securities</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22,705</w:t>
            </w:r>
          </w:p>
        </w:tc>
        <w:tc>
          <w:tcPr>
            <w:tcW w:w="60"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SBA agency securities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ind w:left="0" w:right="0" w:hanging="0"/>
              <w:jc w:val="left"/>
              <w:rPr/>
            </w:pPr>
            <w:r>
              <w:rPr/>
              <w:t> </w:t>
            </w:r>
          </w:p>
        </w:tc>
        <w:tc>
          <w:tcPr>
            <w:tcW w:w="11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ind w:left="0" w:right="0" w:hanging="0"/>
              <w:jc w:val="left"/>
              <w:rPr/>
            </w:pPr>
            <w:r>
              <w:rPr/>
              <w:t> </w:t>
            </w:r>
          </w:p>
        </w:tc>
        <w:tc>
          <w:tcPr>
            <w:tcW w:w="12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21,180</w:t>
            </w:r>
          </w:p>
        </w:tc>
        <w:tc>
          <w:tcPr>
            <w:tcW w:w="60"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MBS: Residential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91,049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ind w:left="0" w:right="0" w:hanging="0"/>
              <w:jc w:val="left"/>
              <w:rPr/>
            </w:pPr>
            <w:r>
              <w:rPr/>
              <w:t> </w:t>
            </w:r>
          </w:p>
        </w:tc>
        <w:tc>
          <w:tcPr>
            <w:tcW w:w="11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ind w:left="0" w:right="0" w:hanging="0"/>
              <w:jc w:val="left"/>
              <w:rPr/>
            </w:pPr>
            <w:r>
              <w:rPr/>
              <w:t> </w:t>
            </w:r>
          </w:p>
        </w:tc>
        <w:tc>
          <w:tcPr>
            <w:tcW w:w="12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87,178</w:t>
            </w:r>
          </w:p>
        </w:tc>
        <w:tc>
          <w:tcPr>
            <w:tcW w:w="60"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MBS: Commercial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ind w:left="0" w:right="0" w:hanging="0"/>
              <w:jc w:val="left"/>
              <w:rPr/>
            </w:pPr>
            <w:r>
              <w:rPr/>
              <w:t> </w:t>
            </w:r>
          </w:p>
        </w:tc>
        <w:tc>
          <w:tcPr>
            <w:tcW w:w="118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ind w:left="0" w:right="0" w:hanging="0"/>
              <w:jc w:val="left"/>
              <w:rPr/>
            </w:pPr>
            <w:r>
              <w:rPr/>
              <w:t> </w:t>
            </w:r>
          </w:p>
        </w:tc>
        <w:tc>
          <w:tcPr>
            <w:tcW w:w="12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4,977</w:t>
            </w:r>
          </w:p>
        </w:tc>
        <w:tc>
          <w:tcPr>
            <w:tcW w:w="60"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CMO: Residential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120,475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ind w:left="0" w:right="0" w:hanging="0"/>
              <w:jc w:val="left"/>
              <w:rPr/>
            </w:pPr>
            <w:r>
              <w:rPr/>
              <w:t> </w:t>
            </w:r>
          </w:p>
        </w:tc>
        <w:tc>
          <w:tcPr>
            <w:tcW w:w="11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ind w:left="0" w:right="0" w:hanging="0"/>
              <w:jc w:val="left"/>
              <w:rPr/>
            </w:pPr>
            <w:r>
              <w:rPr/>
              <w:t> </w:t>
            </w:r>
          </w:p>
        </w:tc>
        <w:tc>
          <w:tcPr>
            <w:tcW w:w="12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(8,740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112,495</w:t>
            </w:r>
          </w:p>
        </w:tc>
        <w:tc>
          <w:tcPr>
            <w:tcW w:w="60"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CMO: Commercial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102,755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ind w:left="0" w:right="0" w:hanging="0"/>
              <w:jc w:val="left"/>
              <w:rPr/>
            </w:pPr>
            <w:r>
              <w:rPr/>
              <w:t> </w:t>
            </w:r>
          </w:p>
        </w:tc>
        <w:tc>
          <w:tcPr>
            <w:tcW w:w="11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ind w:left="0" w:right="0" w:hanging="0"/>
              <w:jc w:val="left"/>
              <w:rPr/>
            </w:pPr>
            <w:r>
              <w:rPr/>
              <w:t> </w:t>
            </w:r>
          </w:p>
        </w:tc>
        <w:tc>
          <w:tcPr>
            <w:tcW w:w="12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100,777</w:t>
            </w:r>
          </w:p>
        </w:tc>
        <w:tc>
          <w:tcPr>
            <w:tcW w:w="60"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paper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ind w:left="0" w:right="0" w:hanging="0"/>
              <w:jc w:val="left"/>
              <w:rPr/>
            </w:pPr>
            <w:r>
              <w:rPr/>
              <w:t> </w:t>
            </w:r>
          </w:p>
        </w:tc>
        <w:tc>
          <w:tcPr>
            <w:tcW w:w="118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ind w:left="0" w:right="0" w:hanging="0"/>
              <w:jc w:val="left"/>
              <w:rPr/>
            </w:pPr>
            <w:r>
              <w:rPr/>
              <w:t> </w:t>
            </w:r>
          </w:p>
        </w:tc>
        <w:tc>
          <w:tcPr>
            <w:tcW w:w="12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19,948</w:t>
            </w:r>
          </w:p>
        </w:tc>
        <w:tc>
          <w:tcPr>
            <w:tcW w:w="60"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debt securities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ind w:left="0" w:right="0" w:hanging="0"/>
              <w:jc w:val="left"/>
              <w:rPr/>
            </w:pPr>
            <w:r>
              <w:rPr/>
              <w:t> </w:t>
            </w:r>
          </w:p>
        </w:tc>
        <w:tc>
          <w:tcPr>
            <w:tcW w:w="11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ind w:left="0" w:right="0" w:hanging="0"/>
              <w:jc w:val="left"/>
              <w:rPr/>
            </w:pPr>
            <w:r>
              <w:rPr/>
              <w:t> </w:t>
            </w:r>
          </w:p>
        </w:tc>
        <w:tc>
          <w:tcPr>
            <w:tcW w:w="12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28,429</w:t>
            </w:r>
          </w:p>
        </w:tc>
        <w:tc>
          <w:tcPr>
            <w:tcW w:w="60"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Municipal tax-exempt securities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12,567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9,515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available for sale</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426,145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5"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0"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(20,717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407,204</w:t>
            </w:r>
          </w:p>
        </w:tc>
        <w:tc>
          <w:tcPr>
            <w:tcW w:w="60"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Held to maturity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Municipal tax-exempt securities</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held to maturity</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4,184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5" w:type="dxa"/>
            <w:tcBorders>
              <w:bottom w:val="double" w:sz="6"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0"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4,103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weighted-average life of the total investment portfolio was 4.6 years at June 30, 2026, and 4.9 years at December 31, 2025. The weighted-average life is the average number of years that each dollar of unpaid principal due remains outstanding. Average life is computed as the weighted-average time to the receipt of all future cash flows, using as the weights the dollar amounts of the principal pay-downs.</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following tables show the amortized cost and fair value of the investment securities portfolio, by expected maturity, as of the dates indicated. However, expected maturities may differ from contractual maturities if borrowers have the right to call or prepay obligations with or without call or prepayment penalties. Accordingly, MBS and CMO securities are classified in accordance with their estimated average life.</w:t>
      </w:r>
    </w:p>
    <w:p>
      <w:pPr>
        <w:pStyle w:val="TextBody"/>
        <w:bidi w:val="0"/>
        <w:spacing w:before="0" w:after="0"/>
        <w:ind w:left="0" w:right="0" w:firstLine="540"/>
        <w:jc w:val="both"/>
        <w:rPr>
          <w:caps w:val="false"/>
          <w:smallCaps w:val="false"/>
        </w:rPr>
      </w:pPr>
      <w:r>
        <w:rPr>
          <w:caps w:val="false"/>
          <w:smallCaps w:val="false"/>
        </w:rPr>
        <w:t> </w:t>
      </w:r>
    </w:p>
    <w:tbl>
      <w:tblPr>
        <w:tblW w:w="10920" w:type="dxa"/>
        <w:jc w:val="left"/>
        <w:tblInd w:w="0" w:type="dxa"/>
        <w:tblLayout w:type="fixed"/>
        <w:tblCellMar>
          <w:top w:w="0" w:type="dxa"/>
          <w:left w:w="0" w:type="dxa"/>
          <w:bottom w:w="0" w:type="dxa"/>
          <w:right w:w="0" w:type="dxa"/>
        </w:tblCellMar>
      </w:tblPr>
      <w:tblGrid>
        <w:gridCol w:w="1040"/>
        <w:gridCol w:w="60"/>
        <w:gridCol w:w="125"/>
        <w:gridCol w:w="590"/>
        <w:gridCol w:w="60"/>
        <w:gridCol w:w="60"/>
        <w:gridCol w:w="113"/>
        <w:gridCol w:w="717"/>
        <w:gridCol w:w="185"/>
        <w:gridCol w:w="60"/>
        <w:gridCol w:w="125"/>
        <w:gridCol w:w="695"/>
        <w:gridCol w:w="60"/>
        <w:gridCol w:w="60"/>
        <w:gridCol w:w="127"/>
        <w:gridCol w:w="703"/>
        <w:gridCol w:w="185"/>
        <w:gridCol w:w="60"/>
        <w:gridCol w:w="125"/>
        <w:gridCol w:w="695"/>
        <w:gridCol w:w="60"/>
        <w:gridCol w:w="60"/>
        <w:gridCol w:w="130"/>
        <w:gridCol w:w="700"/>
        <w:gridCol w:w="185"/>
        <w:gridCol w:w="60"/>
        <w:gridCol w:w="125"/>
        <w:gridCol w:w="590"/>
        <w:gridCol w:w="60"/>
        <w:gridCol w:w="60"/>
        <w:gridCol w:w="113"/>
        <w:gridCol w:w="717"/>
        <w:gridCol w:w="185"/>
        <w:gridCol w:w="60"/>
        <w:gridCol w:w="125"/>
        <w:gridCol w:w="695"/>
        <w:gridCol w:w="60"/>
        <w:gridCol w:w="60"/>
        <w:gridCol w:w="113"/>
        <w:gridCol w:w="717"/>
        <w:gridCol w:w="200"/>
      </w:tblGrid>
      <w:tr>
        <w:trPr/>
        <w:tc>
          <w:tcPr>
            <w:tcW w:w="1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One Year or Less</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7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More than One Year to Five Years</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7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More than Five Years to Ten Years</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More than Ten Years</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7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20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w:t>
            </w:r>
          </w:p>
        </w:tc>
        <w:tc>
          <w:tcPr>
            <w:tcW w:w="200" w:type="dxa"/>
            <w:tcBorders/>
            <w:shd w:fill="FFFFFF" w:val="clear"/>
            <w:vAlign w:val="center"/>
          </w:tcPr>
          <w:p>
            <w:pPr>
              <w:pStyle w:val="TableContents"/>
              <w:bidi w:val="0"/>
              <w:spacing w:before="0" w:after="283"/>
              <w:ind w:left="0" w:right="0" w:hanging="0"/>
              <w:jc w:val="left"/>
              <w:rPr/>
            </w:pPr>
            <w:r>
              <w:rPr/>
              <w:t> </w:t>
            </w:r>
          </w:p>
        </w:tc>
      </w:tr>
      <w:tr>
        <w:trPr/>
        <w:tc>
          <w:tcPr>
            <w:tcW w:w="104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Value</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Average Yield</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Value</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Average Yield</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Value</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Average Yield</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Value</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Average Yield</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Value</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Average Yield</w:t>
            </w:r>
          </w:p>
        </w:tc>
        <w:tc>
          <w:tcPr>
            <w:tcW w:w="200" w:type="dxa"/>
            <w:tcBorders/>
            <w:shd w:fill="FFFFFF" w:val="clear"/>
            <w:vAlign w:val="center"/>
          </w:tcPr>
          <w:p>
            <w:pPr>
              <w:pStyle w:val="TableContents"/>
              <w:bidi w:val="0"/>
              <w:spacing w:before="0" w:after="0"/>
              <w:jc w:val="left"/>
              <w:rPr/>
            </w:pPr>
            <w:r>
              <w:rPr/>
              <w:t> </w:t>
            </w:r>
          </w:p>
        </w:tc>
      </w:tr>
      <w:tr>
        <w:trPr/>
        <w:tc>
          <w:tcPr>
            <w:tcW w:w="104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60" w:type="dxa"/>
            <w:tcBorders/>
            <w:shd w:fill="FFFFFF" w:val="clear"/>
            <w:vAlign w:val="center"/>
          </w:tcPr>
          <w:p>
            <w:pPr>
              <w:pStyle w:val="TableContents"/>
              <w:bidi w:val="0"/>
              <w:spacing w:before="0" w:after="283"/>
              <w:ind w:left="0" w:right="0" w:hanging="0"/>
              <w:jc w:val="left"/>
              <w:rPr/>
            </w:pPr>
            <w:r>
              <w:rPr/>
              <w:t> </w:t>
            </w:r>
          </w:p>
        </w:tc>
        <w:tc>
          <w:tcPr>
            <w:tcW w:w="9820" w:type="dxa"/>
            <w:gridSpan w:val="39"/>
            <w:tcBorders/>
            <w:shd w:fill="FFFFFF" w:val="clear"/>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(dollars in thousands)</w:t>
            </w:r>
          </w:p>
        </w:tc>
      </w:tr>
      <w:tr>
        <w:trPr/>
        <w:tc>
          <w:tcPr>
            <w:tcW w:w="10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Government agency securities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c>
          <w:tcPr>
            <w:tcW w:w="717" w:type="dxa"/>
            <w:tcBorders/>
            <w:shd w:fill="CCEEFF" w:val="cle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7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00" w:type="dxa"/>
            <w:tcBorders/>
            <w:shd w:fill="CCEEFF" w:val="cle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c>
          <w:tcPr>
            <w:tcW w:w="717" w:type="dxa"/>
            <w:tcBorders/>
            <w:shd w:fill="CCEEFF" w:val="cle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c>
          <w:tcPr>
            <w:tcW w:w="7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0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SBA agency securities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ind w:left="0" w:right="0" w:hanging="0"/>
              <w:jc w:val="left"/>
              <w:rPr/>
            </w:pPr>
            <w:r>
              <w:rPr/>
              <w:t> </w:t>
            </w:r>
          </w:p>
        </w:tc>
        <w:tc>
          <w:tcPr>
            <w:tcW w:w="717" w:type="dxa"/>
            <w:tcBorders/>
            <w:shd w:fill="FFFFFF" w:val="clear"/>
            <w:vAlign w:val="center"/>
          </w:tcPr>
          <w:p>
            <w:pPr>
              <w:pStyle w:val="TableContents"/>
              <w:bidi w:val="0"/>
              <w:spacing w:before="0" w:after="283"/>
              <w:ind w:left="0" w:right="0" w:hanging="0"/>
              <w:jc w:val="right"/>
              <w:rPr/>
            </w:pPr>
            <w:r>
              <w:rPr/>
              <w:t>—</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7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7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ind w:left="0" w:right="0" w:hanging="0"/>
              <w:jc w:val="left"/>
              <w:rPr/>
            </w:pPr>
            <w:r>
              <w:rPr/>
              <w:t> </w:t>
            </w:r>
          </w:p>
        </w:tc>
        <w:tc>
          <w:tcPr>
            <w:tcW w:w="717" w:type="dxa"/>
            <w:tcBorders/>
            <w:shd w:fill="FFFFFF" w:val="clear"/>
            <w:vAlign w:val="center"/>
          </w:tcPr>
          <w:p>
            <w:pPr>
              <w:pStyle w:val="TableContents"/>
              <w:bidi w:val="0"/>
              <w:spacing w:before="0" w:after="283"/>
              <w:ind w:left="0" w:right="0" w:hanging="0"/>
              <w:jc w:val="right"/>
              <w:rPr/>
            </w:pPr>
            <w:r>
              <w:rPr/>
              <w:t>—</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ind w:left="0" w:right="0" w:hanging="0"/>
              <w:jc w:val="left"/>
              <w:rPr/>
            </w:pPr>
            <w:r>
              <w:rPr/>
              <w:t> </w:t>
            </w:r>
          </w:p>
        </w:tc>
        <w:tc>
          <w:tcPr>
            <w:tcW w:w="7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4.64</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0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MBS: Residential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c>
          <w:tcPr>
            <w:tcW w:w="717" w:type="dxa"/>
            <w:tcBorders/>
            <w:shd w:fill="CCEEFF" w:val="cle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7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62,340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c>
          <w:tcPr>
            <w:tcW w:w="717" w:type="dxa"/>
            <w:tcBorders/>
            <w:shd w:fill="CCEEFF" w:val="cle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88,810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c>
          <w:tcPr>
            <w:tcW w:w="7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040" w:type="dxa"/>
            <w:tcBorders/>
            <w:shd w:fill="FFFFFF" w:val="clear"/>
            <w:vAlign w:val="center"/>
          </w:tcPr>
          <w:p>
            <w:pPr>
              <w:pStyle w:val="TableContents"/>
              <w:bidi w:val="0"/>
              <w:spacing w:before="0" w:after="0"/>
              <w:ind w:left="900" w:right="0" w:hanging="90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MBS: Commercial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5.01</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0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CMO: Residential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c>
          <w:tcPr>
            <w:tcW w:w="7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69,335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7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c>
          <w:tcPr>
            <w:tcW w:w="717" w:type="dxa"/>
            <w:tcBorders/>
            <w:shd w:fill="CCEEFF" w:val="cle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105,867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c>
          <w:tcPr>
            <w:tcW w:w="7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0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CMO: Commercial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ind w:left="0" w:right="0" w:hanging="0"/>
              <w:jc w:val="left"/>
              <w:rPr/>
            </w:pPr>
            <w:r>
              <w:rPr/>
              <w:t> </w:t>
            </w:r>
          </w:p>
        </w:tc>
        <w:tc>
          <w:tcPr>
            <w:tcW w:w="7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37,035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7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40,666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7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ind w:left="0" w:right="0" w:hanging="0"/>
              <w:jc w:val="left"/>
              <w:rPr/>
            </w:pPr>
            <w:r>
              <w:rPr/>
              <w:t> </w:t>
            </w:r>
          </w:p>
        </w:tc>
        <w:tc>
          <w:tcPr>
            <w:tcW w:w="717" w:type="dxa"/>
            <w:tcBorders/>
            <w:shd w:fill="FFFFFF" w:val="clear"/>
            <w:vAlign w:val="center"/>
          </w:tcPr>
          <w:p>
            <w:pPr>
              <w:pStyle w:val="TableContents"/>
              <w:bidi w:val="0"/>
              <w:spacing w:before="0" w:after="283"/>
              <w:ind w:left="0" w:right="0" w:hanging="0"/>
              <w:jc w:val="right"/>
              <w:rPr/>
            </w:pPr>
            <w:r>
              <w:rPr/>
              <w:t>—</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ind w:left="0" w:right="0" w:hanging="0"/>
              <w:jc w:val="left"/>
              <w:rPr/>
            </w:pPr>
            <w:r>
              <w:rPr/>
              <w:t> </w:t>
            </w:r>
          </w:p>
        </w:tc>
        <w:tc>
          <w:tcPr>
            <w:tcW w:w="7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0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paper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49,663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c>
          <w:tcPr>
            <w:tcW w:w="7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703" w:type="dxa"/>
            <w:tcBorders/>
            <w:shd w:fill="CCEEFF" w:val="cle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00" w:type="dxa"/>
            <w:tcBorders/>
            <w:shd w:fill="CCEEFF" w:val="cle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c>
          <w:tcPr>
            <w:tcW w:w="717" w:type="dxa"/>
            <w:tcBorders/>
            <w:shd w:fill="CCEEFF" w:val="cle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49,663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c>
          <w:tcPr>
            <w:tcW w:w="7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0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debt securities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ind w:left="0" w:right="0" w:hanging="0"/>
              <w:jc w:val="left"/>
              <w:rPr/>
            </w:pPr>
            <w:r>
              <w:rPr/>
              <w:t> </w:t>
            </w:r>
          </w:p>
        </w:tc>
        <w:tc>
          <w:tcPr>
            <w:tcW w:w="7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7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7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ind w:left="0" w:right="0" w:hanging="0"/>
              <w:jc w:val="left"/>
              <w:rPr/>
            </w:pPr>
            <w:r>
              <w:rPr/>
              <w:t> </w:t>
            </w:r>
          </w:p>
        </w:tc>
        <w:tc>
          <w:tcPr>
            <w:tcW w:w="7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ind w:left="0" w:right="0" w:hanging="0"/>
              <w:jc w:val="left"/>
              <w:rPr/>
            </w:pPr>
            <w:r>
              <w:rPr/>
              <w:t> </w:t>
            </w:r>
          </w:p>
        </w:tc>
        <w:tc>
          <w:tcPr>
            <w:tcW w:w="7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0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Municipal tax-exempt securities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8,848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9,757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w:t>
            </w:r>
          </w:p>
        </w:tc>
        <w:tc>
          <w:tcPr>
            <w:tcW w:w="20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0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available for sale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59,756</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ind w:left="0" w:right="0" w:hanging="0"/>
              <w:jc w:val="left"/>
              <w:rPr/>
            </w:pPr>
            <w:r>
              <w:rPr/>
              <w:t> </w:t>
            </w:r>
          </w:p>
        </w:tc>
        <w:tc>
          <w:tcPr>
            <w:tcW w:w="71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4.28</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176,279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160,390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70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10,735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ind w:left="0" w:right="0" w:hanging="0"/>
              <w:jc w:val="left"/>
              <w:rPr/>
            </w:pPr>
            <w:r>
              <w:rPr/>
              <w:t> </w:t>
            </w:r>
          </w:p>
        </w:tc>
        <w:tc>
          <w:tcPr>
            <w:tcW w:w="71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407,160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ind w:left="0" w:right="0" w:hanging="0"/>
              <w:jc w:val="left"/>
              <w:rPr/>
            </w:pPr>
            <w:r>
              <w:rPr/>
              <w:t> </w:t>
            </w:r>
          </w:p>
        </w:tc>
        <w:tc>
          <w:tcPr>
            <w:tcW w:w="71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w:t>
            </w:r>
          </w:p>
        </w:tc>
        <w:tc>
          <w:tcPr>
            <w:tcW w:w="20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0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3"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10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Municipal tax-exempt securities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w:t>
            </w:r>
          </w:p>
        </w:tc>
        <w:tc>
          <w:tcPr>
            <w:tcW w:w="20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0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held to maturity</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c>
          <w:tcPr>
            <w:tcW w:w="7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c>
          <w:tcPr>
            <w:tcW w:w="7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c>
          <w:tcPr>
            <w:tcW w:w="7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w:t>
            </w:r>
          </w:p>
        </w:tc>
        <w:tc>
          <w:tcPr>
            <w:tcW w:w="20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43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table below shows our investment securities’ gross unrealized losses and estimated fair value by investment category and length of time that individual securities have been in a continuous unrealized loss position at June 30, 2026 and December 31, 2025. The unrealized losses on these securities were primarily attributed to changes in interest rates. There was no ACL on the AFS or HTM securities portfolios as of June 30, 2026 or December 31, 2025. We monitor our securities portfolio to ensure that all our investments have adequate credit support and we consider the lowest credit rating for identification of potential impairment. The issuers of these securities have not, to our knowledge, evidenced any cause for default on these securities. As of June 30, 2026, all our investment securities in an unrealized loss position received an investment grade credit rating. These securities have fluctuated in value since their purchase dates as market rates have also fluctuated. However, we have the ability and the intention to hold these securities until their fair values recover to cost or until their respective maturity dates. As such, management does not deem these securities to be impaired under the current expected credit loss model. A summary of our analysis of these securities and the unrealized losses is described more fully in "</w:t>
      </w:r>
      <w:r>
        <w:rPr>
          <w:rFonts w:ascii="Times New Roman" w:hAnsi="Times New Roman"/>
          <w:i/>
          <w:caps w:val="false"/>
          <w:smallCaps w:val="false"/>
          <w:sz w:val="20"/>
        </w:rPr>
        <w:t>Note 3</w:t>
      </w:r>
      <w:r>
        <w:rPr>
          <w:rFonts w:ascii="Times New Roman" w:hAnsi="Times New Roman"/>
          <w:caps w:val="false"/>
          <w:smallCaps w:val="false"/>
          <w:sz w:val="20"/>
        </w:rPr>
        <w:t xml:space="preserve"> — </w:t>
      </w:r>
      <w:r>
        <w:rPr>
          <w:rFonts w:ascii="Times New Roman" w:hAnsi="Times New Roman"/>
          <w:i/>
          <w:caps w:val="false"/>
          <w:smallCaps w:val="false"/>
          <w:sz w:val="20"/>
        </w:rPr>
        <w:t>Investment Securities</w:t>
      </w:r>
      <w:r>
        <w:rPr>
          <w:rFonts w:ascii="Times New Roman" w:hAnsi="Times New Roman"/>
          <w:caps w:val="false"/>
          <w:smallCaps w:val="false"/>
          <w:sz w:val="20"/>
        </w:rPr>
        <w:t>" of our audited consolidated financial statements included in our 2025 Annual Report. Economic trends may adversely affect the value of the portfolio of investment securities that we hold.</w:t>
      </w:r>
    </w:p>
    <w:p>
      <w:pPr>
        <w:pStyle w:val="TextBody"/>
        <w:bidi w:val="0"/>
        <w:spacing w:before="0" w:after="0"/>
        <w:ind w:left="0" w:right="0" w:firstLine="540"/>
        <w:jc w:val="both"/>
        <w:rPr>
          <w:caps w:val="false"/>
          <w:smallCaps w:val="false"/>
        </w:rPr>
      </w:pPr>
      <w:r>
        <w:rPr>
          <w:caps w:val="false"/>
          <w:smallCaps w:val="false"/>
        </w:rPr>
        <w:t> </w:t>
      </w:r>
    </w:p>
    <w:tbl>
      <w:tblPr>
        <w:tblW w:w="9351" w:type="dxa"/>
        <w:jc w:val="left"/>
        <w:tblInd w:w="0" w:type="dxa"/>
        <w:tblLayout w:type="fixed"/>
        <w:tblCellMar>
          <w:top w:w="0" w:type="dxa"/>
          <w:left w:w="0" w:type="dxa"/>
          <w:bottom w:w="0" w:type="dxa"/>
          <w:right w:w="0" w:type="dxa"/>
        </w:tblCellMar>
      </w:tblPr>
      <w:tblGrid>
        <w:gridCol w:w="2645"/>
        <w:gridCol w:w="60"/>
        <w:gridCol w:w="166"/>
        <w:gridCol w:w="928"/>
        <w:gridCol w:w="80"/>
        <w:gridCol w:w="80"/>
        <w:gridCol w:w="177"/>
        <w:gridCol w:w="773"/>
        <w:gridCol w:w="80"/>
        <w:gridCol w:w="60"/>
        <w:gridCol w:w="150"/>
        <w:gridCol w:w="834"/>
        <w:gridCol w:w="72"/>
        <w:gridCol w:w="72"/>
        <w:gridCol w:w="153"/>
        <w:gridCol w:w="797"/>
        <w:gridCol w:w="80"/>
        <w:gridCol w:w="60"/>
        <w:gridCol w:w="142"/>
        <w:gridCol w:w="792"/>
        <w:gridCol w:w="60"/>
        <w:gridCol w:w="60"/>
        <w:gridCol w:w="153"/>
        <w:gridCol w:w="797"/>
        <w:gridCol w:w="80"/>
      </w:tblGrid>
      <w:tr>
        <w:trPr/>
        <w:tc>
          <w:tcPr>
            <w:tcW w:w="26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0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Less than Twelve Months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7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Twelve Months or More</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0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Unrealized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center"/>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Unrealized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Unrealized</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264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Fair Value</w:t>
            </w:r>
          </w:p>
        </w:tc>
        <w:tc>
          <w:tcPr>
            <w:tcW w:w="8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9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Losses</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Fair Value</w:t>
            </w:r>
          </w:p>
        </w:tc>
        <w:tc>
          <w:tcPr>
            <w:tcW w:w="72" w:type="dxa"/>
            <w:tcBorders/>
            <w:shd w:fill="FFFFFF" w:val="clear"/>
            <w:vAlign w:val="center"/>
          </w:tcPr>
          <w:p>
            <w:pPr>
              <w:pStyle w:val="TableContents"/>
              <w:bidi w:val="0"/>
              <w:spacing w:before="0" w:after="0"/>
              <w:ind w:left="0" w:right="0" w:hanging="0"/>
              <w:jc w:val="left"/>
              <w:rPr/>
            </w:pPr>
            <w:r>
              <w:rPr/>
              <w:t> </w:t>
            </w:r>
          </w:p>
        </w:tc>
        <w:tc>
          <w:tcPr>
            <w:tcW w:w="72" w:type="dxa"/>
            <w:tcBorders/>
            <w:shd w:fill="FFFFFF" w:val="clear"/>
            <w:vAlign w:val="center"/>
          </w:tcPr>
          <w:p>
            <w:pPr>
              <w:pStyle w:val="TableContents"/>
              <w:bidi w:val="0"/>
              <w:spacing w:before="0" w:after="0"/>
              <w:ind w:left="0" w:right="0" w:hanging="0"/>
              <w:jc w:val="left"/>
              <w:rPr/>
            </w:pPr>
            <w:r>
              <w:rPr/>
              <w:t> </w:t>
            </w:r>
          </w:p>
        </w:tc>
        <w:tc>
          <w:tcPr>
            <w:tcW w:w="9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Losses</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Fair Value</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Losses</w:t>
            </w:r>
          </w:p>
        </w:tc>
        <w:tc>
          <w:tcPr>
            <w:tcW w:w="80" w:type="dxa"/>
            <w:tcBorders/>
            <w:shd w:fill="FFFFFF" w:val="clear"/>
            <w:vAlign w:val="center"/>
          </w:tcPr>
          <w:p>
            <w:pPr>
              <w:pStyle w:val="TableContents"/>
              <w:bidi w:val="0"/>
              <w:spacing w:before="0" w:after="0"/>
              <w:jc w:val="left"/>
              <w:rPr/>
            </w:pPr>
            <w:r>
              <w:rPr/>
              <w:t> </w:t>
            </w:r>
          </w:p>
        </w:tc>
      </w:tr>
      <w:tr>
        <w:trPr/>
        <w:tc>
          <w:tcPr>
            <w:tcW w:w="26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60" w:type="dxa"/>
            <w:tcBorders/>
            <w:shd w:fill="FFFFFF" w:val="clear"/>
            <w:vAlign w:val="center"/>
          </w:tcPr>
          <w:p>
            <w:pPr>
              <w:pStyle w:val="TableContents"/>
              <w:bidi w:val="0"/>
              <w:spacing w:before="0" w:after="283"/>
              <w:ind w:left="0" w:right="0" w:hanging="0"/>
              <w:jc w:val="left"/>
              <w:rPr/>
            </w:pPr>
            <w:r>
              <w:rPr/>
              <w:t> </w:t>
            </w:r>
          </w:p>
        </w:tc>
        <w:tc>
          <w:tcPr>
            <w:tcW w:w="6646" w:type="dxa"/>
            <w:gridSpan w:val="23"/>
            <w:tcBorders/>
            <w:shd w:fill="FFFFFF" w:val="clear"/>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(dollars in thousands)</w:t>
            </w:r>
          </w:p>
        </w:tc>
      </w:tr>
      <w:tr>
        <w:trPr/>
        <w:tc>
          <w:tcPr>
            <w:tcW w:w="26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Government agency securities</w:t>
            </w:r>
          </w:p>
        </w:tc>
        <w:tc>
          <w:tcPr>
            <w:tcW w:w="60" w:type="dxa"/>
            <w:tcBorders/>
            <w:shd w:fill="CCEEFF" w:val="clear"/>
            <w:vAlign w:val="center"/>
          </w:tcPr>
          <w:p>
            <w:pPr>
              <w:pStyle w:val="TableContents"/>
              <w:bidi w:val="0"/>
              <w:spacing w:before="0" w:after="283"/>
              <w:ind w:left="0" w:right="0" w:hanging="0"/>
              <w:jc w:val="left"/>
              <w:rPr/>
            </w:pPr>
            <w:r>
              <w:rPr/>
              <w:t> </w:t>
            </w:r>
          </w:p>
        </w:tc>
        <w:tc>
          <w:tcPr>
            <w:tcW w:w="16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11,027</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17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5,301</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15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SBA agency securities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9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16,551</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8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2,768</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MBS: Residential</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9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42,983</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8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25,644</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7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68,627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(5,013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FFFFFF" w:val="clear"/>
            <w:vAlign w:val="center"/>
          </w:tcPr>
          <w:p>
            <w:pPr>
              <w:pStyle w:val="TableContents"/>
              <w:bidi w:val="0"/>
              <w:spacing w:before="0" w:after="0"/>
              <w:ind w:left="540" w:right="0" w:hanging="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MBS: Commercial</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9,965</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CMO: Residential</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9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27,637</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8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48,563</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(9,106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7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(9,381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CMO: Commercial</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9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14,891</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8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42,155</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57,046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CCEEFF" w:val="clear"/>
            <w:vAlign w:val="center"/>
          </w:tcPr>
          <w:p>
            <w:pPr>
              <w:pStyle w:val="TableContents"/>
              <w:bidi w:val="0"/>
              <w:spacing w:before="0" w:after="0"/>
              <w:ind w:left="540" w:right="0" w:hanging="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paper</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19,786</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19,786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debt securities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9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986</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8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16,604</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Municipal tax-exempt securities</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9,757</w:t>
            </w:r>
          </w:p>
        </w:tc>
        <w:tc>
          <w:tcPr>
            <w:tcW w:w="7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9,757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available for sale</w:t>
            </w:r>
          </w:p>
        </w:tc>
        <w:tc>
          <w:tcPr>
            <w:tcW w:w="60" w:type="dxa"/>
            <w:tcBorders/>
            <w:shd w:fill="FFFFFF" w:val="clear"/>
            <w:vAlign w:val="center"/>
          </w:tcPr>
          <w:p>
            <w:pPr>
              <w:pStyle w:val="TableContents"/>
              <w:bidi w:val="0"/>
              <w:spacing w:before="0" w:after="283"/>
              <w:ind w:left="0" w:right="0" w:hanging="0"/>
              <w:jc w:val="left"/>
              <w:rPr/>
            </w:pPr>
            <w:r>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143,826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17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150,792</w:t>
            </w:r>
          </w:p>
        </w:tc>
        <w:tc>
          <w:tcPr>
            <w:tcW w:w="7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(20,234</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294,618</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(21,406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Municipal tax-exempt securities</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2,465</w:t>
            </w:r>
          </w:p>
        </w:tc>
        <w:tc>
          <w:tcPr>
            <w:tcW w:w="7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held to maturity</w:t>
            </w:r>
          </w:p>
        </w:tc>
        <w:tc>
          <w:tcPr>
            <w:tcW w:w="60" w:type="dxa"/>
            <w:tcBorders/>
            <w:shd w:fill="CCEEFF" w:val="clear"/>
            <w:vAlign w:val="center"/>
          </w:tcPr>
          <w:p>
            <w:pPr>
              <w:pStyle w:val="TableContents"/>
              <w:bidi w:val="0"/>
              <w:spacing w:before="0" w:after="283"/>
              <w:ind w:left="0" w:right="0" w:hanging="0"/>
              <w:jc w:val="left"/>
              <w:rPr/>
            </w:pPr>
            <w:r>
              <w:rPr/>
              <w:t> </w:t>
            </w:r>
          </w:p>
        </w:tc>
        <w:tc>
          <w:tcPr>
            <w:tcW w:w="16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17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2,465</w:t>
            </w:r>
          </w:p>
        </w:tc>
        <w:tc>
          <w:tcPr>
            <w:tcW w:w="7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540"/>
        <w:jc w:val="both"/>
        <w:rPr>
          <w:caps w:val="false"/>
          <w:smallCaps w:val="false"/>
        </w:rPr>
      </w:pPr>
      <w:r>
        <w:rPr>
          <w:caps w:val="false"/>
          <w:smallCaps w:val="false"/>
        </w:rPr>
        <w:t> </w:t>
      </w:r>
    </w:p>
    <w:tbl>
      <w:tblPr>
        <w:tblW w:w="9421" w:type="dxa"/>
        <w:jc w:val="left"/>
        <w:tblInd w:w="0" w:type="dxa"/>
        <w:tblLayout w:type="fixed"/>
        <w:tblCellMar>
          <w:top w:w="0" w:type="dxa"/>
          <w:left w:w="0" w:type="dxa"/>
          <w:bottom w:w="0" w:type="dxa"/>
          <w:right w:w="0" w:type="dxa"/>
        </w:tblCellMar>
      </w:tblPr>
      <w:tblGrid>
        <w:gridCol w:w="2645"/>
        <w:gridCol w:w="60"/>
        <w:gridCol w:w="198"/>
        <w:gridCol w:w="936"/>
        <w:gridCol w:w="95"/>
        <w:gridCol w:w="95"/>
        <w:gridCol w:w="228"/>
        <w:gridCol w:w="722"/>
        <w:gridCol w:w="80"/>
        <w:gridCol w:w="60"/>
        <w:gridCol w:w="150"/>
        <w:gridCol w:w="834"/>
        <w:gridCol w:w="72"/>
        <w:gridCol w:w="72"/>
        <w:gridCol w:w="153"/>
        <w:gridCol w:w="797"/>
        <w:gridCol w:w="80"/>
        <w:gridCol w:w="60"/>
        <w:gridCol w:w="142"/>
        <w:gridCol w:w="792"/>
        <w:gridCol w:w="60"/>
        <w:gridCol w:w="60"/>
        <w:gridCol w:w="153"/>
        <w:gridCol w:w="797"/>
        <w:gridCol w:w="80"/>
      </w:tblGrid>
      <w:tr>
        <w:trPr/>
        <w:tc>
          <w:tcPr>
            <w:tcW w:w="26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7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Less than Twelve Months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7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Twelve Months or More</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0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center"/>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Unrealized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center"/>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Unrealized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Unrealized</w:t>
            </w:r>
          </w:p>
        </w:tc>
        <w:tc>
          <w:tcPr>
            <w:tcW w:w="80" w:type="dxa"/>
            <w:tcBorders/>
            <w:shd w:fill="FFFF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w:t>
            </w:r>
          </w:p>
        </w:tc>
        <w:tc>
          <w:tcPr>
            <w:tcW w:w="7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6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2025</w:t>
            </w:r>
          </w:p>
        </w:tc>
        <w:tc>
          <w:tcPr>
            <w:tcW w:w="60" w:type="dxa"/>
            <w:tcBorders/>
            <w:shd w:fill="FFFFFF" w:val="clear"/>
            <w:vAlign w:val="center"/>
          </w:tcPr>
          <w:p>
            <w:pPr>
              <w:pStyle w:val="TableContents"/>
              <w:bidi w:val="0"/>
              <w:spacing w:before="0" w:after="283"/>
              <w:ind w:left="0" w:right="0" w:hanging="0"/>
              <w:jc w:val="left"/>
              <w:rPr/>
            </w:pPr>
            <w:r>
              <w:rPr/>
              <w:t> </w:t>
            </w:r>
          </w:p>
        </w:tc>
        <w:tc>
          <w:tcPr>
            <w:tcW w:w="6636" w:type="dxa"/>
            <w:gridSpan w:val="22"/>
            <w:tcBorders/>
            <w:shd w:fill="FFFFFF" w:val="clear"/>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(dollars in thousands)</w:t>
            </w:r>
          </w:p>
        </w:tc>
        <w:tc>
          <w:tcPr>
            <w:tcW w:w="80"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Government agency securities</w:t>
            </w:r>
          </w:p>
        </w:tc>
        <w:tc>
          <w:tcPr>
            <w:tcW w:w="60" w:type="dxa"/>
            <w:tcBorders/>
            <w:shd w:fill="CCEEFF" w:val="clear"/>
            <w:vAlign w:val="center"/>
          </w:tcPr>
          <w:p>
            <w:pPr>
              <w:pStyle w:val="TableContents"/>
              <w:bidi w:val="0"/>
              <w:spacing w:before="0" w:after="283"/>
              <w:ind w:left="0" w:right="0" w:hanging="0"/>
              <w:jc w:val="left"/>
              <w:rPr/>
            </w:pPr>
            <w:r>
              <w:rPr/>
              <w:t> </w:t>
            </w:r>
          </w:p>
        </w:tc>
        <w:tc>
          <w:tcPr>
            <w:tcW w:w="19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1,749</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2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6,572</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15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SBA agency securities</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9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7,654</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7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8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2,962</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MBS: Residential</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9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14,196</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7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8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27,573</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7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41,769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MBS: Commercial</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9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4,977</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7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834" w:type="dxa"/>
            <w:tcBorders/>
            <w:shd w:fill="FFFFFF" w:val="clear"/>
            <w:vAlign w:val="center"/>
          </w:tcPr>
          <w:p>
            <w:pPr>
              <w:pStyle w:val="TableContents"/>
              <w:bidi w:val="0"/>
              <w:spacing w:before="0" w:after="283"/>
              <w:ind w:left="0" w:right="0" w:hanging="0"/>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CMO: Residential</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9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3,130</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7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8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53,195</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(8,739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7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(8,740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CMO: Commercial</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9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13,947</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7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8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49,366</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63,313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debt securities</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936" w:type="dxa"/>
            <w:tcBorders/>
            <w:shd w:fill="CCEEFF" w:val="clear"/>
            <w:vAlign w:val="center"/>
          </w:tcPr>
          <w:p>
            <w:pPr>
              <w:pStyle w:val="TableContents"/>
              <w:bidi w:val="0"/>
              <w:spacing w:before="0" w:after="283"/>
              <w:ind w:left="0" w:right="0" w:hanging="0"/>
              <w:jc w:val="right"/>
              <w:rPr/>
            </w:pPr>
            <w:r>
              <w:rPr/>
              <w:t>—</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72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8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22,577</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7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Municipal tax-exempt securities</w:t>
            </w:r>
          </w:p>
        </w:tc>
        <w:tc>
          <w:tcPr>
            <w:tcW w:w="60" w:type="dxa"/>
            <w:tcBorders/>
            <w:shd w:fill="FFFFFF" w:val="clear"/>
            <w:vAlign w:val="center"/>
          </w:tcPr>
          <w:p>
            <w:pPr>
              <w:pStyle w:val="TableContents"/>
              <w:bidi w:val="0"/>
              <w:spacing w:before="0" w:after="283"/>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9,515</w:t>
            </w:r>
          </w:p>
        </w:tc>
        <w:tc>
          <w:tcPr>
            <w:tcW w:w="7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9,515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CCEEFF" w:val="clear"/>
            <w:vAlign w:val="center"/>
          </w:tcPr>
          <w:p>
            <w:pPr>
              <w:pStyle w:val="TableContents"/>
              <w:bidi w:val="0"/>
              <w:spacing w:before="0" w:after="0"/>
              <w:ind w:left="0" w:right="0" w:firstLine="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available for sale</w:t>
            </w:r>
          </w:p>
        </w:tc>
        <w:tc>
          <w:tcPr>
            <w:tcW w:w="60" w:type="dxa"/>
            <w:tcBorders/>
            <w:shd w:fill="CCEEFF" w:val="clear"/>
            <w:vAlign w:val="center"/>
          </w:tcPr>
          <w:p>
            <w:pPr>
              <w:pStyle w:val="TableContents"/>
              <w:bidi w:val="0"/>
              <w:spacing w:before="0" w:after="283"/>
              <w:ind w:left="0" w:right="0" w:hanging="0"/>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45,653</w:t>
            </w:r>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2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171,760</w:t>
            </w:r>
          </w:p>
        </w:tc>
        <w:tc>
          <w:tcPr>
            <w:tcW w:w="7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(20,462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217,413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(20,717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Municipal tax-exempt securities</w:t>
            </w:r>
          </w:p>
        </w:tc>
        <w:tc>
          <w:tcPr>
            <w:tcW w:w="60" w:type="dxa"/>
            <w:tcBorders/>
            <w:shd w:fill="CCEEFF" w:val="clear"/>
            <w:vAlign w:val="center"/>
          </w:tcPr>
          <w:p>
            <w:pPr>
              <w:pStyle w:val="TableContents"/>
              <w:bidi w:val="0"/>
              <w:spacing w:before="0" w:after="283"/>
              <w:ind w:left="0" w:right="0" w:hanging="0"/>
              <w:jc w:val="left"/>
              <w:rPr/>
            </w:pPr>
            <w:r>
              <w:rPr/>
              <w:t> </w:t>
            </w:r>
          </w:p>
        </w:tc>
        <w:tc>
          <w:tcPr>
            <w:tcW w:w="1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9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2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3,663</w:t>
            </w:r>
          </w:p>
        </w:tc>
        <w:tc>
          <w:tcPr>
            <w:tcW w:w="7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45" w:type="dxa"/>
            <w:tcBorders/>
            <w:shd w:fill="FFFFFF" w:val="clear"/>
            <w:vAlign w:val="center"/>
          </w:tcPr>
          <w:p>
            <w:pPr>
              <w:pStyle w:val="TableContents"/>
              <w:bidi w:val="0"/>
              <w:spacing w:before="0" w:after="0"/>
              <w:ind w:left="0" w:right="0" w:firstLine="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held to maturity</w:t>
            </w:r>
          </w:p>
        </w:tc>
        <w:tc>
          <w:tcPr>
            <w:tcW w:w="60" w:type="dxa"/>
            <w:tcBorders/>
            <w:shd w:fill="FFFFFF" w:val="clear"/>
            <w:vAlign w:val="center"/>
          </w:tcPr>
          <w:p>
            <w:pPr>
              <w:pStyle w:val="TableContents"/>
              <w:bidi w:val="0"/>
              <w:spacing w:before="0" w:after="283"/>
              <w:ind w:left="0" w:right="0" w:hanging="0"/>
              <w:jc w:val="left"/>
              <w:rPr/>
            </w:pPr>
            <w:r>
              <w:rPr/>
              <w:t> </w:t>
            </w:r>
          </w:p>
        </w:tc>
        <w:tc>
          <w:tcPr>
            <w:tcW w:w="19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2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3,663</w:t>
            </w:r>
          </w:p>
        </w:tc>
        <w:tc>
          <w:tcPr>
            <w:tcW w:w="7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3,663</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loan portfolio is the largest category of our earning assets. Loans HFI decreased $4.8 million to $3.3 billion at June 30, 2026 since December 31, 2025. The decrease was primarily due to decreases in CRE loans of $25.5 million, construction and land development ("C&amp;D") loans of $9.2 million, and SBA loans of $6.3 million, partially offset by increases in SFR mortgage loans of $25.3 million, and commercial and industrial ("C&amp;I") loans of $11.9 million. SFR mortgage loans represented 50.8% of our total HFI loans as of June 30, 2026 and 50.0% at December 31, 2025. There were no loans HFS at June 30, 2026 compared to $2.1 million loans HFS at December 31, 2025.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following table presents the balance and associated percentage of each major category in our loan portfolio as of the dates indicated:</w:t>
      </w:r>
    </w:p>
    <w:p>
      <w:pPr>
        <w:pStyle w:val="TextBody"/>
        <w:bidi w:val="0"/>
        <w:spacing w:before="0" w:after="0"/>
        <w:ind w:left="0" w:right="0" w:firstLine="540"/>
        <w:jc w:val="both"/>
        <w:rPr>
          <w:caps w:val="false"/>
          <w:smallCaps w:val="false"/>
        </w:rPr>
      </w:pPr>
      <w:r>
        <w:rPr>
          <w:caps w:val="false"/>
          <w:smallCaps w:val="false"/>
        </w:rPr>
        <w:t> </w:t>
      </w:r>
    </w:p>
    <w:tbl>
      <w:tblPr>
        <w:tblW w:w="7221" w:type="dxa"/>
        <w:jc w:val="left"/>
        <w:tblInd w:w="0" w:type="dxa"/>
        <w:tblLayout w:type="fixed"/>
        <w:tblCellMar>
          <w:top w:w="0" w:type="dxa"/>
          <w:left w:w="0" w:type="dxa"/>
          <w:bottom w:w="0" w:type="dxa"/>
          <w:right w:w="0" w:type="dxa"/>
        </w:tblCellMar>
      </w:tblPr>
      <w:tblGrid>
        <w:gridCol w:w="2960"/>
        <w:gridCol w:w="60"/>
        <w:gridCol w:w="125"/>
        <w:gridCol w:w="845"/>
        <w:gridCol w:w="80"/>
        <w:gridCol w:w="60"/>
        <w:gridCol w:w="60"/>
        <w:gridCol w:w="485"/>
        <w:gridCol w:w="185"/>
        <w:gridCol w:w="60"/>
        <w:gridCol w:w="158"/>
        <w:gridCol w:w="1074"/>
        <w:gridCol w:w="101"/>
        <w:gridCol w:w="76"/>
        <w:gridCol w:w="76"/>
        <w:gridCol w:w="616"/>
        <w:gridCol w:w="200"/>
      </w:tblGrid>
      <w:tr>
        <w:trPr/>
        <w:tc>
          <w:tcPr>
            <w:tcW w:w="2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of June 30, 2026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0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of December 31, 2025</w:t>
            </w:r>
          </w:p>
        </w:tc>
        <w:tc>
          <w:tcPr>
            <w:tcW w:w="20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10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69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20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2960" w:type="dxa"/>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left"/>
              <w:rPr>
                <w:rFonts w:ascii="Times New Roman;Times;serif" w:hAnsi="Times New Roman;Times;serif"/>
                <w:b/>
                <w:sz w:val="20"/>
              </w:rPr>
            </w:pPr>
            <w:r>
              <w:rPr>
                <w:rFonts w:ascii="Times New Roman;Times;serif" w:hAnsi="Times New Roman;Times;serif"/>
                <w:b/>
                <w:sz w:val="20"/>
              </w:rPr>
              <w:t>Loans HFI:(1)</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876" w:type="dxa"/>
            <w:gridSpan w:val="13"/>
            <w:tcBorders/>
            <w:shd w:fill="FFFFFF" w:val="clear"/>
            <w:vAlign w:val="center"/>
          </w:tcPr>
          <w:p>
            <w:pPr>
              <w:pStyle w:val="TableContents"/>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(dollars in thousands)</w:t>
            </w:r>
          </w:p>
        </w:tc>
        <w:tc>
          <w:tcPr>
            <w:tcW w:w="200" w:type="dxa"/>
            <w:tcBorders/>
            <w:shd w:fill="FFFFFF" w:val="clear"/>
            <w:vAlign w:val="center"/>
          </w:tcPr>
          <w:p>
            <w:pPr>
              <w:pStyle w:val="TableContents"/>
              <w:bidi w:val="0"/>
              <w:spacing w:before="0" w:after="0"/>
              <w:jc w:val="left"/>
              <w:rPr/>
            </w:pPr>
            <w:r>
              <w:rPr/>
              <w:t> </w:t>
            </w:r>
          </w:p>
        </w:tc>
      </w:tr>
      <w:tr>
        <w:trPr/>
        <w:tc>
          <w:tcPr>
            <w:tcW w:w="29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Single-family residential mortgages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1,680,635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1,655,382</w:t>
            </w:r>
          </w:p>
        </w:tc>
        <w:tc>
          <w:tcPr>
            <w:tcW w:w="101"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6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60" w:type="dxa"/>
            <w:tcBorders/>
            <w:shd w:fill="FFFF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real estate (2)</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1,277,559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10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1,303,019</w:t>
            </w:r>
          </w:p>
        </w:tc>
        <w:tc>
          <w:tcPr>
            <w:tcW w:w="101"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6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Construction and land development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146,273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10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155,464</w:t>
            </w:r>
          </w:p>
        </w:tc>
        <w:tc>
          <w:tcPr>
            <w:tcW w:w="101"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6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and industrial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151,961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10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140,061</w:t>
            </w:r>
          </w:p>
        </w:tc>
        <w:tc>
          <w:tcPr>
            <w:tcW w:w="101"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6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SBA</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49,667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10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55,978</w:t>
            </w:r>
          </w:p>
        </w:tc>
        <w:tc>
          <w:tcPr>
            <w:tcW w:w="101"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6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loans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4,397</w:t>
            </w:r>
          </w:p>
        </w:tc>
        <w:tc>
          <w:tcPr>
            <w:tcW w:w="10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20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loans HFI</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3,309,459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bottom w:val="double" w:sz="6" w:space="0" w:color="000000"/>
            </w:tcBorders>
            <w:shd w:fill="CCEEFF" w:val="clear"/>
            <w:tcMar>
              <w:bottom w:w="45"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10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3,314,301</w:t>
            </w:r>
          </w:p>
        </w:tc>
        <w:tc>
          <w:tcPr>
            <w:tcW w:w="101"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00" w:type="dxa"/>
            <w:tcBorders>
              <w:bottom w:val="double" w:sz="6" w:space="0" w:color="000000"/>
            </w:tcBorders>
            <w:shd w:fill="CCEEFF" w:val="clear"/>
            <w:tcMar>
              <w:bottom w:w="45"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Allowance for loan losses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(43,660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(43,888</w:t>
            </w:r>
          </w:p>
        </w:tc>
        <w:tc>
          <w:tcPr>
            <w:tcW w:w="101"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loans HFI, net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3,265,799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3,270,413</w:t>
            </w:r>
          </w:p>
        </w:tc>
        <w:tc>
          <w:tcPr>
            <w:tcW w:w="10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tbl>
      <w:tblPr>
        <w:tblW w:w="7285" w:type="dxa"/>
        <w:jc w:val="left"/>
        <w:tblInd w:w="0" w:type="dxa"/>
        <w:tblLayout w:type="fixed"/>
        <w:tblCellMar>
          <w:top w:w="0" w:type="dxa"/>
          <w:left w:w="0" w:type="dxa"/>
          <w:bottom w:w="0" w:type="dxa"/>
          <w:right w:w="0" w:type="dxa"/>
        </w:tblCellMar>
      </w:tblPr>
      <w:tblGrid>
        <w:gridCol w:w="60"/>
        <w:gridCol w:w="230"/>
        <w:gridCol w:w="699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both"/>
              <w:rPr>
                <w:rFonts w:ascii="Times New Roman" w:hAnsi="Times New Roman"/>
                <w:caps w:val="false"/>
                <w:smallCaps w:val="false"/>
                <w:sz w:val="16"/>
              </w:rPr>
            </w:pPr>
            <w:r>
              <w:rPr>
                <w:rFonts w:ascii="Times New Roman" w:hAnsi="Times New Roman"/>
                <w:caps w:val="false"/>
                <w:smallCaps w:val="false"/>
                <w:sz w:val="16"/>
              </w:rPr>
              <w:t>(1)</w:t>
            </w:r>
          </w:p>
        </w:tc>
        <w:tc>
          <w:tcPr>
            <w:tcW w:w="6995" w:type="dxa"/>
            <w:tcBorders/>
            <w:vAlign w:val="center"/>
          </w:tcPr>
          <w:p>
            <w:pPr>
              <w:pStyle w:val="TableContents"/>
              <w:bidi w:val="0"/>
              <w:spacing w:before="0" w:after="0"/>
              <w:ind w:left="0" w:right="0" w:hanging="0"/>
              <w:jc w:val="both"/>
              <w:rPr>
                <w:rFonts w:ascii="Times New Roman" w:hAnsi="Times New Roman"/>
                <w:caps w:val="false"/>
                <w:smallCaps w:val="false"/>
                <w:sz w:val="16"/>
              </w:rPr>
            </w:pPr>
            <w:r>
              <w:rPr>
                <w:rFonts w:ascii="Times New Roman" w:hAnsi="Times New Roman"/>
                <w:caps w:val="false"/>
                <w:smallCaps w:val="false"/>
                <w:sz w:val="16"/>
              </w:rPr>
              <w:t>Net of premiums (discounts) on acquired loans and net deferred (fees) and costs on originated loans.</w:t>
            </w:r>
          </w:p>
        </w:tc>
      </w:tr>
    </w:tbl>
    <w:tbl>
      <w:tblPr>
        <w:tblW w:w="10105" w:type="dxa"/>
        <w:jc w:val="left"/>
        <w:tblInd w:w="0" w:type="dxa"/>
        <w:tblLayout w:type="fixed"/>
        <w:tblCellMar>
          <w:top w:w="0" w:type="dxa"/>
          <w:left w:w="0" w:type="dxa"/>
          <w:bottom w:w="0" w:type="dxa"/>
          <w:right w:w="0" w:type="dxa"/>
        </w:tblCellMar>
      </w:tblPr>
      <w:tblGrid>
        <w:gridCol w:w="60"/>
        <w:gridCol w:w="230"/>
        <w:gridCol w:w="981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both"/>
              <w:rPr>
                <w:rFonts w:ascii="Times New Roman" w:hAnsi="Times New Roman"/>
                <w:caps w:val="false"/>
                <w:smallCaps w:val="false"/>
                <w:sz w:val="16"/>
              </w:rPr>
            </w:pPr>
            <w:r>
              <w:rPr>
                <w:rFonts w:ascii="Times New Roman" w:hAnsi="Times New Roman"/>
                <w:caps w:val="false"/>
                <w:smallCaps w:val="false"/>
                <w:sz w:val="16"/>
              </w:rPr>
              <w:t>(2)</w:t>
            </w:r>
          </w:p>
        </w:tc>
        <w:tc>
          <w:tcPr>
            <w:tcW w:w="9815" w:type="dxa"/>
            <w:tcBorders/>
            <w:vAlign w:val="center"/>
          </w:tcPr>
          <w:p>
            <w:pPr>
              <w:pStyle w:val="TableContents"/>
              <w:bidi w:val="0"/>
              <w:spacing w:before="0" w:after="0"/>
              <w:ind w:left="0" w:right="0" w:hanging="0"/>
              <w:jc w:val="both"/>
              <w:rPr>
                <w:rFonts w:ascii="Times New Roman" w:hAnsi="Times New Roman"/>
                <w:caps w:val="false"/>
                <w:smallCaps w:val="false"/>
                <w:sz w:val="16"/>
              </w:rPr>
            </w:pPr>
            <w:r>
              <w:rPr>
                <w:rFonts w:ascii="Times New Roman" w:hAnsi="Times New Roman"/>
                <w:caps w:val="false"/>
                <w:smallCaps w:val="false"/>
                <w:sz w:val="16"/>
              </w:rPr>
              <w:t>Includes non-farm and non-residential real estate loans, multifamily residential loans and non-owner occupied single-family residential loans.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following table presents the geographic locations of loans in our loan HFI portfolio, by loan class, as of the date indicated:</w:t>
      </w:r>
    </w:p>
    <w:p>
      <w:pPr>
        <w:pStyle w:val="TextBody"/>
        <w:bidi w:val="0"/>
        <w:spacing w:before="0" w:after="0"/>
        <w:ind w:left="0" w:right="0" w:firstLine="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09"/>
        <w:gridCol w:w="60"/>
        <w:gridCol w:w="185"/>
        <w:gridCol w:w="1261"/>
        <w:gridCol w:w="60"/>
        <w:gridCol w:w="60"/>
        <w:gridCol w:w="157"/>
        <w:gridCol w:w="1074"/>
        <w:gridCol w:w="60"/>
        <w:gridCol w:w="60"/>
        <w:gridCol w:w="216"/>
        <w:gridCol w:w="1206"/>
        <w:gridCol w:w="60"/>
        <w:gridCol w:w="60"/>
        <w:gridCol w:w="192"/>
        <w:gridCol w:w="1075"/>
        <w:gridCol w:w="60"/>
        <w:gridCol w:w="60"/>
        <w:gridCol w:w="125"/>
        <w:gridCol w:w="590"/>
        <w:gridCol w:w="60"/>
        <w:gridCol w:w="60"/>
        <w:gridCol w:w="125"/>
        <w:gridCol w:w="485"/>
        <w:gridCol w:w="60"/>
        <w:gridCol w:w="60"/>
        <w:gridCol w:w="125"/>
        <w:gridCol w:w="845"/>
        <w:gridCol w:w="60"/>
        <w:gridCol w:w="60"/>
        <w:gridCol w:w="60"/>
        <w:gridCol w:w="485"/>
        <w:gridCol w:w="190"/>
      </w:tblGrid>
      <w:tr>
        <w:trPr/>
        <w:tc>
          <w:tcPr>
            <w:tcW w:w="9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46" w:type="dxa"/>
            <w:gridSpan w:val="3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of June 30, 2026</w:t>
            </w:r>
          </w:p>
        </w:tc>
        <w:tc>
          <w:tcPr>
            <w:tcW w:w="19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9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Single-family Residential Mortgages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Commercial Real Estate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Construction and Land Development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Commercial and Industrial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SBA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Loans HFI</w:t>
            </w:r>
          </w:p>
        </w:tc>
        <w:tc>
          <w:tcPr>
            <w:tcW w:w="19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9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3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2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19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90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Loans HFI:</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8861" w:type="dxa"/>
            <w:gridSpan w:val="29"/>
            <w:tcBorders/>
            <w:shd w:fill="FFFFFF" w:val="clear"/>
            <w:vAlign w:val="center"/>
          </w:tcPr>
          <w:p>
            <w:pPr>
              <w:pStyle w:val="TableContents"/>
              <w:bidi w:val="0"/>
              <w:spacing w:before="0" w:after="0"/>
              <w:jc w:val="center"/>
              <w:rPr>
                <w:rFonts w:ascii="Times New Roman;Times;serif" w:hAnsi="Times New Roman;Times;serif"/>
                <w:b/>
                <w:i/>
                <w:sz w:val="20"/>
              </w:rPr>
            </w:pPr>
            <w:r>
              <w:rPr>
                <w:rFonts w:ascii="Times New Roman;Times;serif" w:hAnsi="Times New Roman;Times;serif"/>
                <w:b/>
                <w:i/>
                <w:sz w:val="20"/>
              </w:rPr>
              <w:t>(dollars in thousands)</w:t>
            </w:r>
          </w:p>
        </w:tc>
        <w:tc>
          <w:tcPr>
            <w:tcW w:w="190" w:type="dxa"/>
            <w:tcBorders/>
            <w:shd w:fill="FFFFFF" w:val="clear"/>
            <w:vAlign w:val="center"/>
          </w:tcPr>
          <w:p>
            <w:pPr>
              <w:pStyle w:val="TableContents"/>
              <w:bidi w:val="0"/>
              <w:spacing w:before="0" w:after="283"/>
              <w:jc w:val="left"/>
              <w:rPr/>
            </w:pPr>
            <w:r>
              <w:rPr/>
              <w:t> </w:t>
            </w:r>
          </w:p>
        </w:tc>
      </w:tr>
      <w:tr>
        <w:trPr/>
        <w:tc>
          <w:tcPr>
            <w:tcW w:w="90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California</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729,691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923,181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91,530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135,072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1,914,329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57.8</w:t>
            </w:r>
          </w:p>
        </w:tc>
        <w:tc>
          <w:tcPr>
            <w:tcW w:w="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90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York</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2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778,176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10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168,921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ind w:left="0" w:right="0" w:hanging="0"/>
              <w:jc w:val="left"/>
              <w:rPr/>
            </w:pPr>
            <w:r>
              <w:rPr/>
              <w:t> </w:t>
            </w:r>
          </w:p>
        </w:tc>
        <w:tc>
          <w:tcPr>
            <w:tcW w:w="12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54,743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ind w:left="0" w:right="0" w:hanging="0"/>
              <w:jc w:val="left"/>
              <w:rPr/>
            </w:pPr>
            <w:r>
              <w:rPr/>
              <w:t> </w:t>
            </w:r>
          </w:p>
        </w:tc>
        <w:tc>
          <w:tcPr>
            <w:tcW w:w="10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1,005,682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w:t>
            </w:r>
          </w:p>
        </w:tc>
        <w:tc>
          <w:tcPr>
            <w:tcW w:w="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90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Illinois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2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53,662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10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ind w:left="0" w:right="0" w:hanging="0"/>
              <w:jc w:val="left"/>
              <w:rPr/>
            </w:pPr>
            <w:r>
              <w:rPr/>
              <w:t> </w:t>
            </w:r>
          </w:p>
        </w:tc>
        <w:tc>
          <w:tcPr>
            <w:tcW w:w="120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ind w:left="0" w:right="0" w:hanging="0"/>
              <w:jc w:val="left"/>
              <w:rPr/>
            </w:pPr>
            <w:r>
              <w:rPr/>
              <w:t> </w:t>
            </w:r>
          </w:p>
        </w:tc>
        <w:tc>
          <w:tcPr>
            <w:tcW w:w="10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63,529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90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Nevada</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2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10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ind w:left="0" w:right="0" w:hanging="0"/>
              <w:jc w:val="left"/>
              <w:rPr/>
            </w:pPr>
            <w:r>
              <w:rPr/>
              <w:t> </w:t>
            </w:r>
          </w:p>
        </w:tc>
        <w:tc>
          <w:tcPr>
            <w:tcW w:w="120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ind w:left="0" w:right="0" w:hanging="0"/>
              <w:jc w:val="left"/>
              <w:rPr/>
            </w:pPr>
            <w:r>
              <w:rPr/>
              <w:t> </w:t>
            </w:r>
          </w:p>
        </w:tc>
        <w:tc>
          <w:tcPr>
            <w:tcW w:w="10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60,212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90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Jersey</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2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10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ind w:left="0" w:right="0" w:hanging="0"/>
              <w:jc w:val="left"/>
              <w:rPr/>
            </w:pPr>
            <w:r>
              <w:rPr/>
              <w:t> </w:t>
            </w:r>
          </w:p>
        </w:tc>
        <w:tc>
          <w:tcPr>
            <w:tcW w:w="120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ind w:left="0" w:right="0" w:hanging="0"/>
              <w:jc w:val="left"/>
              <w:rPr/>
            </w:pPr>
            <w:r>
              <w:rPr/>
              <w:t> </w:t>
            </w:r>
          </w:p>
        </w:tc>
        <w:tc>
          <w:tcPr>
            <w:tcW w:w="10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56,292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909"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Hawaii</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15,198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15,243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0.5</w:t>
            </w:r>
          </w:p>
        </w:tc>
        <w:tc>
          <w:tcPr>
            <w:tcW w:w="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90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35,519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135,285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11,790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8,642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194,172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w:t>
            </w:r>
          </w:p>
        </w:tc>
        <w:tc>
          <w:tcPr>
            <w:tcW w:w="19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909"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loans HFI</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1,680,635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1,277,559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0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146,273</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151,961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49,667</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3,364</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3,309,459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9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majority of our loan portfolio is based on collateral or businesses located in California and New York, which represented 88.2% of our loan portfolio. Loans secured by collateral in other states represented approximately 11.8% of our portfolio and the majority of these loans are secured by real estate with a weighted average loan-to-value ("LTV") ratio of 55% at June 30, 2026.</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i/>
          <w:caps w:val="false"/>
          <w:smallCaps w:val="false"/>
          <w:sz w:val="20"/>
        </w:rPr>
        <w:t>SFR loans</w:t>
      </w:r>
      <w:r>
        <w:rPr>
          <w:rFonts w:ascii="Times New Roman" w:hAnsi="Times New Roman"/>
          <w:caps w:val="false"/>
          <w:smallCaps w:val="false"/>
          <w:sz w:val="20"/>
        </w:rPr>
        <w:t>. SFR loans totaled $1.7 billion, or 50.8% of our loans HFI portfolio, as of June 30, 2026. SFR loans increased $25.3 million, or 1.5%, during the first six months of 2026 due to higher originations relative to payoffs, paydowns and sales. As of June 30, 2026, the weighted-average LTV ratio of the portfolio was 54%, the weighted average FICO score was 765, and the weighted average age was 3.6 years.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originate qualified SFR mortgage loans and non-qualified, alternative documentation SFR mortgage loans through wholesale channels and retail channels, including our branch network, to accommodate the needs of the Asian-centric market. The qualified SFR mortgage loans are 15-year and 30-year conforming mortgages and may be sold directly to FNMA and FHLMC. We originate non-qualified SFR mortgage loans both to sell and hold for investment.</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For SFR mortgage loans sold to FNMA, FHLMC and to other third parties such as investment funds or other banks, we generally provide limited representations and warranties and with a repurchase and premium refund for loans that become delinquent in the first 90-days or a premium refund if paid-off in the first 90-days with respect to all loans sold. In certain loan sales to other banks, loans are sold with no representations or warranties and provide a replacement feature for the first six months if any loans pay off early. As a condition of the sale for all loans, the buyer must have the loans audited for underwriting and compliance standards. There were $0 and $2.1 million of SFR loans HFS at June 30, 2026 and December 31, 2025.</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following table presents the LTV ratios at origination for SFR loans by state as of the date indicated:</w:t>
      </w:r>
    </w:p>
    <w:p>
      <w:pPr>
        <w:pStyle w:val="TextBody"/>
        <w:bidi w:val="0"/>
        <w:spacing w:before="0" w:after="0"/>
        <w:ind w:left="0" w:right="0" w:firstLine="540"/>
        <w:jc w:val="both"/>
        <w:rPr>
          <w:caps w:val="false"/>
          <w:smallCaps w:val="false"/>
        </w:rPr>
      </w:pPr>
      <w:r>
        <w:rPr>
          <w:caps w:val="false"/>
          <w:smallCaps w:val="false"/>
        </w:rPr>
        <w:t> </w:t>
      </w:r>
    </w:p>
    <w:tbl>
      <w:tblPr>
        <w:tblW w:w="8166" w:type="dxa"/>
        <w:jc w:val="left"/>
        <w:tblInd w:w="0" w:type="dxa"/>
        <w:tblLayout w:type="fixed"/>
        <w:tblCellMar>
          <w:top w:w="0" w:type="dxa"/>
          <w:left w:w="0" w:type="dxa"/>
          <w:bottom w:w="0" w:type="dxa"/>
          <w:right w:w="0" w:type="dxa"/>
        </w:tblCellMar>
      </w:tblPr>
      <w:tblGrid>
        <w:gridCol w:w="1190"/>
        <w:gridCol w:w="60"/>
        <w:gridCol w:w="125"/>
        <w:gridCol w:w="695"/>
        <w:gridCol w:w="60"/>
        <w:gridCol w:w="60"/>
        <w:gridCol w:w="142"/>
        <w:gridCol w:w="792"/>
        <w:gridCol w:w="60"/>
        <w:gridCol w:w="60"/>
        <w:gridCol w:w="142"/>
        <w:gridCol w:w="792"/>
        <w:gridCol w:w="60"/>
        <w:gridCol w:w="60"/>
        <w:gridCol w:w="142"/>
        <w:gridCol w:w="792"/>
        <w:gridCol w:w="60"/>
        <w:gridCol w:w="60"/>
        <w:gridCol w:w="163"/>
        <w:gridCol w:w="771"/>
        <w:gridCol w:w="60"/>
        <w:gridCol w:w="60"/>
        <w:gridCol w:w="125"/>
        <w:gridCol w:w="485"/>
        <w:gridCol w:w="60"/>
        <w:gridCol w:w="60"/>
        <w:gridCol w:w="125"/>
        <w:gridCol w:w="845"/>
        <w:gridCol w:w="60"/>
      </w:tblGrid>
      <w:tr>
        <w:trPr/>
        <w:tc>
          <w:tcPr>
            <w:tcW w:w="11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56" w:type="dxa"/>
            <w:gridSpan w:val="2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LTV Distribution</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19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&lt;45%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45%≤55%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55%≤65%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65%≤75%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75%≤85%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&gt;85%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1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56" w:type="dxa"/>
            <w:gridSpan w:val="26"/>
            <w:tcBorders/>
            <w:shd w:fill="FFFFFF" w:val="clear"/>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(dollars in thousands)</w:t>
            </w:r>
          </w:p>
        </w:tc>
        <w:tc>
          <w:tcPr>
            <w:tcW w:w="60" w:type="dxa"/>
            <w:tcBorders/>
            <w:shd w:fill="FFFFFF" w:val="clear"/>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York</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187,623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178,866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275,043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129,463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778,176</w:t>
            </w:r>
          </w:p>
        </w:tc>
        <w:tc>
          <w:tcPr>
            <w:tcW w:w="60" w:type="dxa"/>
            <w:tcBorders/>
            <w:shd w:fill="CCEEFF" w:val="clear"/>
            <w:vAlign w:val="center"/>
          </w:tcPr>
          <w:p>
            <w:pPr>
              <w:pStyle w:val="TableContents"/>
              <w:bidi w:val="0"/>
              <w:spacing w:before="0" w:after="283"/>
              <w:jc w:val="left"/>
              <w:rPr/>
            </w:pPr>
            <w:r>
              <w:rPr/>
              <w:t> </w:t>
            </w:r>
          </w:p>
        </w:tc>
      </w:tr>
      <w:tr>
        <w:trPr/>
        <w:tc>
          <w:tcPr>
            <w:tcW w:w="11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California</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140,917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158,491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300,981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117,089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7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729,691</w:t>
            </w:r>
          </w:p>
        </w:tc>
        <w:tc>
          <w:tcPr>
            <w:tcW w:w="60" w:type="dxa"/>
            <w:tcBorders/>
            <w:shd w:fill="FFFFFF" w:val="clear"/>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Illinois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7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7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7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7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53,662</w:t>
            </w:r>
          </w:p>
        </w:tc>
        <w:tc>
          <w:tcPr>
            <w:tcW w:w="60" w:type="dxa"/>
            <w:tcBorders/>
            <w:shd w:fill="CCEEFF" w:val="clear"/>
            <w:vAlign w:val="center"/>
          </w:tcPr>
          <w:p>
            <w:pPr>
              <w:pStyle w:val="TableContents"/>
              <w:bidi w:val="0"/>
              <w:spacing w:before="0" w:after="283"/>
              <w:jc w:val="left"/>
              <w:rPr/>
            </w:pPr>
            <w:r>
              <w:rPr/>
              <w:t> </w:t>
            </w:r>
          </w:p>
        </w:tc>
      </w:tr>
      <w:tr>
        <w:trPr/>
        <w:tc>
          <w:tcPr>
            <w:tcW w:w="11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Jersey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7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47,445</w:t>
            </w:r>
          </w:p>
        </w:tc>
        <w:tc>
          <w:tcPr>
            <w:tcW w:w="60" w:type="dxa"/>
            <w:tcBorders/>
            <w:shd w:fill="FFFFFF" w:val="clear"/>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Nevada</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7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7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7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7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20,944</w:t>
            </w:r>
          </w:p>
        </w:tc>
        <w:tc>
          <w:tcPr>
            <w:tcW w:w="60" w:type="dxa"/>
            <w:tcBorders/>
            <w:shd w:fill="CCEEFF" w:val="clear"/>
            <w:vAlign w:val="center"/>
          </w:tcPr>
          <w:p>
            <w:pPr>
              <w:pStyle w:val="TableContents"/>
              <w:bidi w:val="0"/>
              <w:spacing w:before="0" w:after="283"/>
              <w:jc w:val="left"/>
              <w:rPr/>
            </w:pPr>
            <w:r>
              <w:rPr/>
              <w:t> </w:t>
            </w:r>
          </w:p>
        </w:tc>
      </w:tr>
      <w:tr>
        <w:trPr/>
        <w:tc>
          <w:tcPr>
            <w:tcW w:w="11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Hawaii</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7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15,198</w:t>
            </w:r>
          </w:p>
        </w:tc>
        <w:tc>
          <w:tcPr>
            <w:tcW w:w="60" w:type="dxa"/>
            <w:tcBorders/>
            <w:shd w:fill="FFFFFF" w:val="clear"/>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9,705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5,284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11,858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8,452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35,519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119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364,331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372,682</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638,469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278,071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23,389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3,693</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1,680,635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i/>
          <w:caps w:val="false"/>
          <w:smallCaps w:val="false"/>
          <w:sz w:val="20"/>
        </w:rPr>
        <w:t>Commercial real estate loans</w:t>
      </w:r>
      <w:r>
        <w:rPr>
          <w:rFonts w:ascii="Times New Roman" w:hAnsi="Times New Roman"/>
          <w:caps w:val="false"/>
          <w:smallCaps w:val="false"/>
          <w:sz w:val="20"/>
        </w:rPr>
        <w:t>. CRE loans decreased $25.5 million, or 2.0%, to $1.3 billion at June 30, 2026, compared to $1.3 billion at December 31, 2025. The decrease in the first half of 2026 was driven by above-average payoff activity more than offsetting new loan production.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CRE loans include owner occupied and non-owner occupied commercial real estate, multi-family residential and SFR loans originated for a business purpose. The interest rates for the majority of the commercial real estate loans are based on the Wall Street Journal Prime rate and have a maturity of five years or less. The multi-family residential loans generally have interest rates based on the 5-year treasury, a 10-year maturity with a five year fixed-rate period followed by a five year floating-rate period, and have a declining prepayment penalty over the first five years. SFR loans originated for a business purpose generally are shorter-term and may have a maturity of one year.</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largest subset of CRE loans was the multi-family residential loan portfolio, which totaled $748.4 million as of June 30, 2026 and $745.3 million as of December 31, 2025.</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following table presents the LTV ratios at origination for CRE loans by property type as of the date indicated:</w:t>
      </w:r>
    </w:p>
    <w:p>
      <w:pPr>
        <w:pStyle w:val="TextBody"/>
        <w:bidi w:val="0"/>
        <w:spacing w:before="0" w:after="0"/>
        <w:ind w:left="0" w:right="0" w:firstLine="540"/>
        <w:jc w:val="both"/>
        <w:rPr>
          <w:caps w:val="false"/>
          <w:smallCaps w:val="false"/>
        </w:rPr>
      </w:pPr>
      <w:r>
        <w:rPr>
          <w:caps w:val="false"/>
          <w:smallCaps w:val="false"/>
        </w:rPr>
        <w:t> </w:t>
      </w:r>
    </w:p>
    <w:tbl>
      <w:tblPr>
        <w:tblW w:w="9771" w:type="dxa"/>
        <w:jc w:val="left"/>
        <w:tblInd w:w="0" w:type="dxa"/>
        <w:tblLayout w:type="fixed"/>
        <w:tblCellMar>
          <w:top w:w="0" w:type="dxa"/>
          <w:left w:w="0" w:type="dxa"/>
          <w:bottom w:w="0" w:type="dxa"/>
          <w:right w:w="0" w:type="dxa"/>
        </w:tblCellMar>
      </w:tblPr>
      <w:tblGrid>
        <w:gridCol w:w="2690"/>
        <w:gridCol w:w="60"/>
        <w:gridCol w:w="125"/>
        <w:gridCol w:w="695"/>
        <w:gridCol w:w="60"/>
        <w:gridCol w:w="60"/>
        <w:gridCol w:w="142"/>
        <w:gridCol w:w="792"/>
        <w:gridCol w:w="60"/>
        <w:gridCol w:w="60"/>
        <w:gridCol w:w="142"/>
        <w:gridCol w:w="792"/>
        <w:gridCol w:w="60"/>
        <w:gridCol w:w="60"/>
        <w:gridCol w:w="142"/>
        <w:gridCol w:w="792"/>
        <w:gridCol w:w="60"/>
        <w:gridCol w:w="60"/>
        <w:gridCol w:w="191"/>
        <w:gridCol w:w="743"/>
        <w:gridCol w:w="60"/>
        <w:gridCol w:w="60"/>
        <w:gridCol w:w="125"/>
        <w:gridCol w:w="590"/>
        <w:gridCol w:w="60"/>
        <w:gridCol w:w="60"/>
        <w:gridCol w:w="125"/>
        <w:gridCol w:w="845"/>
        <w:gridCol w:w="60"/>
      </w:tblGrid>
      <w:tr>
        <w:trPr/>
        <w:tc>
          <w:tcPr>
            <w:tcW w:w="26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61" w:type="dxa"/>
            <w:gridSpan w:val="2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LTV Distribution</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&lt;45%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45%≤55%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55%≤65%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65%≤75%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75%≤85%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&gt;85%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Non-owner occupied:</w:t>
            </w:r>
          </w:p>
        </w:tc>
        <w:tc>
          <w:tcPr>
            <w:tcW w:w="60" w:type="dxa"/>
            <w:tcBorders/>
            <w:shd w:fill="FFFFFF" w:val="clear"/>
            <w:vAlign w:val="center"/>
          </w:tcPr>
          <w:p>
            <w:pPr>
              <w:pStyle w:val="TableContents"/>
              <w:bidi w:val="0"/>
              <w:spacing w:before="0" w:after="283"/>
              <w:ind w:left="0" w:right="0" w:hanging="0"/>
              <w:jc w:val="left"/>
              <w:rPr/>
            </w:pPr>
            <w:r>
              <w:rPr/>
              <w:t> </w:t>
            </w:r>
          </w:p>
        </w:tc>
        <w:tc>
          <w:tcPr>
            <w:tcW w:w="6961" w:type="dxa"/>
            <w:gridSpan w:val="26"/>
            <w:tcBorders/>
            <w:shd w:fill="FFFFFF" w:val="clear"/>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(dollars in thousands)</w:t>
            </w:r>
          </w:p>
        </w:tc>
        <w:tc>
          <w:tcPr>
            <w:tcW w:w="60"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Apartments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61,720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126,834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60,490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294,210</w:t>
            </w:r>
          </w:p>
        </w:tc>
        <w:tc>
          <w:tcPr>
            <w:tcW w:w="60"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Mobile Home Parks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76,641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111,483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55,945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7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288,174</w:t>
            </w:r>
          </w:p>
        </w:tc>
        <w:tc>
          <w:tcPr>
            <w:tcW w:w="60"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Mixed Use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7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7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136,943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79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7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210,818</w:t>
            </w:r>
          </w:p>
        </w:tc>
        <w:tc>
          <w:tcPr>
            <w:tcW w:w="60"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Hotel/Motel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74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80,240</w:t>
            </w:r>
          </w:p>
        </w:tc>
        <w:tc>
          <w:tcPr>
            <w:tcW w:w="60"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7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46,721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7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79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74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72,420</w:t>
            </w:r>
          </w:p>
        </w:tc>
        <w:tc>
          <w:tcPr>
            <w:tcW w:w="60"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Warehouse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9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74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48,995</w:t>
            </w:r>
          </w:p>
        </w:tc>
        <w:tc>
          <w:tcPr>
            <w:tcW w:w="60"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Rent Controlled NY Multifamily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7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7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79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74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47,329</w:t>
            </w:r>
          </w:p>
        </w:tc>
        <w:tc>
          <w:tcPr>
            <w:tcW w:w="60"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SFR Rental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74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39,512</w:t>
            </w:r>
          </w:p>
        </w:tc>
        <w:tc>
          <w:tcPr>
            <w:tcW w:w="60"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Office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7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7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7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74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37,019</w:t>
            </w:r>
          </w:p>
        </w:tc>
        <w:tc>
          <w:tcPr>
            <w:tcW w:w="60"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5,672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non-owner occupied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230,651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282,725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461,283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129,281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7,283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13,166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1,124,389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Owner-occupied: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Warehouse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7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7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7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74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58,445</w:t>
            </w:r>
          </w:p>
        </w:tc>
        <w:tc>
          <w:tcPr>
            <w:tcW w:w="60"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Hotel/Motel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9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74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57,923</w:t>
            </w:r>
          </w:p>
        </w:tc>
        <w:tc>
          <w:tcPr>
            <w:tcW w:w="60"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7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7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79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74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15,555</w:t>
            </w:r>
          </w:p>
        </w:tc>
        <w:tc>
          <w:tcPr>
            <w:tcW w:w="60"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Mixed Use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9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74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7,996</w:t>
            </w:r>
          </w:p>
        </w:tc>
        <w:tc>
          <w:tcPr>
            <w:tcW w:w="60"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Gas Station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79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79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7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74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5,727</w:t>
            </w:r>
          </w:p>
        </w:tc>
        <w:tc>
          <w:tcPr>
            <w:tcW w:w="60"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Office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9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9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74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2,357</w:t>
            </w:r>
          </w:p>
        </w:tc>
        <w:tc>
          <w:tcPr>
            <w:tcW w:w="60"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Rent Controlled NY Multifamily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7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79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79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74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1,686</w:t>
            </w:r>
          </w:p>
        </w:tc>
        <w:tc>
          <w:tcPr>
            <w:tcW w:w="60"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SFR Rental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9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9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74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1,613</w:t>
            </w:r>
          </w:p>
        </w:tc>
        <w:tc>
          <w:tcPr>
            <w:tcW w:w="60"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owner-occupied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28,734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56,257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51,117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17,062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153,170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0"/>
              <w:ind w:left="54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259,385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338,982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512,400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146,343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7,283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13,166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1,277,559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following table presents the LTV ratios at origination for CRE loans by state as of the date indicated:</w:t>
      </w:r>
    </w:p>
    <w:p>
      <w:pPr>
        <w:pStyle w:val="TextBody"/>
        <w:bidi w:val="0"/>
        <w:spacing w:before="0" w:after="0"/>
        <w:ind w:left="0" w:right="0" w:firstLine="540"/>
        <w:jc w:val="both"/>
        <w:rPr>
          <w:caps w:val="false"/>
          <w:smallCaps w:val="false"/>
        </w:rPr>
      </w:pPr>
      <w:r>
        <w:rPr>
          <w:caps w:val="false"/>
          <w:smallCaps w:val="false"/>
        </w:rPr>
        <w:t> </w:t>
      </w:r>
    </w:p>
    <w:tbl>
      <w:tblPr>
        <w:tblW w:w="9246" w:type="dxa"/>
        <w:jc w:val="left"/>
        <w:tblInd w:w="0" w:type="dxa"/>
        <w:tblLayout w:type="fixed"/>
        <w:tblCellMar>
          <w:top w:w="0" w:type="dxa"/>
          <w:left w:w="0" w:type="dxa"/>
          <w:bottom w:w="0" w:type="dxa"/>
          <w:right w:w="0" w:type="dxa"/>
        </w:tblCellMar>
      </w:tblPr>
      <w:tblGrid>
        <w:gridCol w:w="2165"/>
        <w:gridCol w:w="60"/>
        <w:gridCol w:w="125"/>
        <w:gridCol w:w="695"/>
        <w:gridCol w:w="60"/>
        <w:gridCol w:w="60"/>
        <w:gridCol w:w="142"/>
        <w:gridCol w:w="792"/>
        <w:gridCol w:w="60"/>
        <w:gridCol w:w="60"/>
        <w:gridCol w:w="142"/>
        <w:gridCol w:w="792"/>
        <w:gridCol w:w="60"/>
        <w:gridCol w:w="60"/>
        <w:gridCol w:w="142"/>
        <w:gridCol w:w="792"/>
        <w:gridCol w:w="60"/>
        <w:gridCol w:w="60"/>
        <w:gridCol w:w="191"/>
        <w:gridCol w:w="743"/>
        <w:gridCol w:w="60"/>
        <w:gridCol w:w="60"/>
        <w:gridCol w:w="125"/>
        <w:gridCol w:w="590"/>
        <w:gridCol w:w="60"/>
        <w:gridCol w:w="60"/>
        <w:gridCol w:w="125"/>
        <w:gridCol w:w="845"/>
        <w:gridCol w:w="60"/>
      </w:tblGrid>
      <w:tr>
        <w:trPr/>
        <w:tc>
          <w:tcPr>
            <w:tcW w:w="2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871" w:type="dxa"/>
            <w:gridSpan w:val="2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LTV Distribution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1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&lt;45%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45%≤55%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55%≤65%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65%≤75%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75%≤85%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&gt;85%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Non-owner occupied:</w:t>
            </w:r>
          </w:p>
        </w:tc>
        <w:tc>
          <w:tcPr>
            <w:tcW w:w="60" w:type="dxa"/>
            <w:tcBorders/>
            <w:shd w:fill="FFFFFF" w:val="clear"/>
            <w:vAlign w:val="center"/>
          </w:tcPr>
          <w:p>
            <w:pPr>
              <w:pStyle w:val="TableContents"/>
              <w:bidi w:val="0"/>
              <w:spacing w:before="0" w:after="283"/>
              <w:ind w:left="0" w:right="0" w:hanging="0"/>
              <w:jc w:val="left"/>
              <w:rPr/>
            </w:pPr>
            <w:r>
              <w:rPr/>
              <w:t> </w:t>
            </w:r>
          </w:p>
        </w:tc>
        <w:tc>
          <w:tcPr>
            <w:tcW w:w="6961" w:type="dxa"/>
            <w:gridSpan w:val="26"/>
            <w:tcBorders/>
            <w:shd w:fill="FFFFFF" w:val="clear"/>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(dollars in thousands)</w:t>
            </w:r>
          </w:p>
        </w:tc>
        <w:tc>
          <w:tcPr>
            <w:tcW w:w="60" w:type="dxa"/>
            <w:tcBorders/>
            <w:shd w:fill="FFFFFF" w:val="clear"/>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California</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141,325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192,700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362,676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99,182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798,843</w:t>
            </w:r>
          </w:p>
        </w:tc>
        <w:tc>
          <w:tcPr>
            <w:tcW w:w="60" w:type="dxa"/>
            <w:tcBorders/>
            <w:shd w:fill="CCEEFF"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York</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9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7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153,964</w:t>
            </w:r>
          </w:p>
        </w:tc>
        <w:tc>
          <w:tcPr>
            <w:tcW w:w="60" w:type="dxa"/>
            <w:tcBorders/>
            <w:shd w:fill="FFFFFF" w:val="clear"/>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Nevada</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7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79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79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74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29,319</w:t>
            </w:r>
          </w:p>
        </w:tc>
        <w:tc>
          <w:tcPr>
            <w:tcW w:w="60" w:type="dxa"/>
            <w:tcBorders/>
            <w:shd w:fill="CCEEFF"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Illinois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74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7,131</w:t>
            </w:r>
          </w:p>
        </w:tc>
        <w:tc>
          <w:tcPr>
            <w:tcW w:w="60" w:type="dxa"/>
            <w:tcBorders/>
            <w:shd w:fill="FFFFFF" w:val="clear"/>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Jersey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7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7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79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74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5,105</w:t>
            </w:r>
          </w:p>
        </w:tc>
        <w:tc>
          <w:tcPr>
            <w:tcW w:w="60" w:type="dxa"/>
            <w:tcBorders/>
            <w:shd w:fill="CCEEFF"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11,797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18,682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56,766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29,519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10,206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130,027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non-owner occupied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230,651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282,725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461,283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129,281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7,283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13,166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1,124,389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Owner-occupied: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California</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7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51,208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7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7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74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124,338</w:t>
            </w:r>
          </w:p>
        </w:tc>
        <w:tc>
          <w:tcPr>
            <w:tcW w:w="60" w:type="dxa"/>
            <w:tcBorders/>
            <w:shd w:fill="CCEEFF"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York</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9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74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14,957</w:t>
            </w:r>
          </w:p>
        </w:tc>
        <w:tc>
          <w:tcPr>
            <w:tcW w:w="60" w:type="dxa"/>
            <w:tcBorders/>
            <w:shd w:fill="FFFFFF" w:val="clear"/>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Nevada</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79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7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79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74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4,551</w:t>
            </w:r>
          </w:p>
        </w:tc>
        <w:tc>
          <w:tcPr>
            <w:tcW w:w="60" w:type="dxa"/>
            <w:tcBorders/>
            <w:shd w:fill="CCEEFF"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Illinois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9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9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74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1,908</w:t>
            </w:r>
          </w:p>
        </w:tc>
        <w:tc>
          <w:tcPr>
            <w:tcW w:w="60" w:type="dxa"/>
            <w:tcBorders/>
            <w:shd w:fill="FFFFFF" w:val="clear"/>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Jersey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7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79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79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74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2,158</w:t>
            </w:r>
          </w:p>
        </w:tc>
        <w:tc>
          <w:tcPr>
            <w:tcW w:w="60" w:type="dxa"/>
            <w:tcBorders/>
            <w:shd w:fill="CCEEFF"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owner-occupied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28,734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56,257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51,117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17,062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153,170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0"/>
              <w:ind w:left="36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259,385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338,982</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512,400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146,343</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7,283</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13,166</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1,277,559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i/>
          <w:caps w:val="false"/>
          <w:smallCaps w:val="false"/>
          <w:sz w:val="20"/>
        </w:rPr>
        <w:t>Construction and land development loans</w:t>
      </w:r>
      <w:r>
        <w:rPr>
          <w:rFonts w:ascii="Times New Roman" w:hAnsi="Times New Roman"/>
          <w:b/>
          <w:caps w:val="false"/>
          <w:smallCaps w:val="false"/>
          <w:sz w:val="20"/>
        </w:rPr>
        <w:t>.</w:t>
      </w:r>
      <w:r>
        <w:rPr>
          <w:rFonts w:ascii="Times New Roman" w:hAnsi="Times New Roman"/>
          <w:caps w:val="false"/>
          <w:smallCaps w:val="false"/>
          <w:sz w:val="20"/>
        </w:rPr>
        <w:t xml:space="preserve"> C&amp;D loans totaled $146.3 million, or 4.4% of the loan portfolio, at June 30, 2026. C&amp;D loans decreased $9.2 million, or 5.9%, during the first six months of 2026 due to a decrease in residential construction loans, offset by increases in commercial construction loans and land development loans. The net decrease in the first six months of 2026 included a $19.4 million nonperforming construction loan migrating to OREO in the second quarter. At June 30, 2026, the weighted average LTV ratio of the portfolio was 58%. Our C&amp;D loans are comprised of commercial construction, residential construction, and land acquisition and development. Interest reserves are generally established on real estate construction loans. These loans generally have interest rates based on the Wall Street Journal Prime rate and have maturities of less than 18 months.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following table shows the categories of our C&amp;D portfolio as of the dates indicated:</w:t>
      </w:r>
    </w:p>
    <w:p>
      <w:pPr>
        <w:pStyle w:val="TextBody"/>
        <w:bidi w:val="0"/>
        <w:spacing w:before="0" w:after="0"/>
        <w:ind w:left="0" w:right="0" w:firstLine="540"/>
        <w:jc w:val="both"/>
        <w:rPr>
          <w:caps w:val="false"/>
          <w:smallCaps w:val="false"/>
        </w:rPr>
      </w:pPr>
      <w:r>
        <w:rPr>
          <w:caps w:val="false"/>
          <w:smallCaps w:val="false"/>
        </w:rPr>
        <w:t> </w:t>
      </w:r>
    </w:p>
    <w:tbl>
      <w:tblPr>
        <w:tblW w:w="10107" w:type="dxa"/>
        <w:jc w:val="left"/>
        <w:tblInd w:w="0" w:type="dxa"/>
        <w:tblLayout w:type="fixed"/>
        <w:tblCellMar>
          <w:top w:w="0" w:type="dxa"/>
          <w:left w:w="0" w:type="dxa"/>
          <w:bottom w:w="0" w:type="dxa"/>
          <w:right w:w="0" w:type="dxa"/>
        </w:tblCellMar>
      </w:tblPr>
      <w:tblGrid>
        <w:gridCol w:w="3875"/>
        <w:gridCol w:w="60"/>
        <w:gridCol w:w="139"/>
        <w:gridCol w:w="774"/>
        <w:gridCol w:w="66"/>
        <w:gridCol w:w="66"/>
        <w:gridCol w:w="66"/>
        <w:gridCol w:w="540"/>
        <w:gridCol w:w="185"/>
        <w:gridCol w:w="60"/>
        <w:gridCol w:w="177"/>
        <w:gridCol w:w="985"/>
        <w:gridCol w:w="85"/>
        <w:gridCol w:w="85"/>
        <w:gridCol w:w="85"/>
        <w:gridCol w:w="687"/>
        <w:gridCol w:w="185"/>
        <w:gridCol w:w="60"/>
        <w:gridCol w:w="147"/>
        <w:gridCol w:w="767"/>
        <w:gridCol w:w="94"/>
        <w:gridCol w:w="70"/>
        <w:gridCol w:w="70"/>
        <w:gridCol w:w="519"/>
        <w:gridCol w:w="260"/>
      </w:tblGrid>
      <w:tr>
        <w:trPr/>
        <w:tc>
          <w:tcPr>
            <w:tcW w:w="3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of June 30, 2026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0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of December 31, 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Increase (Decrease)</w:t>
            </w:r>
          </w:p>
        </w:tc>
        <w:tc>
          <w:tcPr>
            <w:tcW w:w="2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6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60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Mix %</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0" w:right="0" w:hanging="0"/>
              <w:jc w:val="left"/>
              <w:rPr/>
            </w:pPr>
            <w:r>
              <w:rPr/>
              <w:t> </w:t>
            </w:r>
          </w:p>
        </w:tc>
        <w:tc>
          <w:tcPr>
            <w:tcW w:w="77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Mix %</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9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5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2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3875"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5773" w:type="dxa"/>
            <w:gridSpan w:val="21"/>
            <w:tcBorders/>
            <w:shd w:fill="FFFFFF" w:val="clear"/>
            <w:vAlign w:val="center"/>
          </w:tcPr>
          <w:p>
            <w:pPr>
              <w:pStyle w:val="TableContents"/>
              <w:bidi w:val="0"/>
              <w:spacing w:before="0" w:after="0"/>
              <w:jc w:val="center"/>
              <w:rPr>
                <w:rFonts w:ascii="Times New Roman;Times;serif" w:hAnsi="Times New Roman;Times;serif"/>
                <w:b/>
                <w:i/>
                <w:sz w:val="20"/>
              </w:rPr>
            </w:pPr>
            <w:r>
              <w:rPr>
                <w:rFonts w:ascii="Times New Roman;Times;serif" w:hAnsi="Times New Roman;Times;serif"/>
                <w:b/>
                <w:i/>
                <w:sz w:val="20"/>
              </w:rPr>
              <w:t>(dollars in thousands)</w:t>
            </w:r>
          </w:p>
        </w:tc>
        <w:tc>
          <w:tcPr>
            <w:tcW w:w="260"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construction</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104,583</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5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100,035</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6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4,548</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5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Residential construction</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7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37,597</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5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51,825</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0" w:right="0" w:hanging="0"/>
              <w:jc w:val="left"/>
              <w:rPr/>
            </w:pPr>
            <w:r>
              <w:rPr/>
              <w:t> </w:t>
            </w:r>
          </w:p>
        </w:tc>
        <w:tc>
          <w:tcPr>
            <w:tcW w:w="6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7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(14,228</w:t>
            </w:r>
          </w:p>
        </w:tc>
        <w:tc>
          <w:tcPr>
            <w:tcW w:w="9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5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w:t>
            </w:r>
          </w:p>
        </w:tc>
        <w:tc>
          <w:tcPr>
            <w:tcW w:w="2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Land development</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4,093</w:t>
            </w:r>
          </w:p>
        </w:tc>
        <w:tc>
          <w:tcPr>
            <w:tcW w:w="6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3,604</w:t>
            </w:r>
          </w:p>
        </w:tc>
        <w:tc>
          <w:tcPr>
            <w:tcW w:w="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489</w:t>
            </w:r>
          </w:p>
        </w:tc>
        <w:tc>
          <w:tcPr>
            <w:tcW w:w="9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w:t>
            </w:r>
          </w:p>
        </w:tc>
        <w:tc>
          <w:tcPr>
            <w:tcW w:w="26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75" w:type="dxa"/>
            <w:tcBorders/>
            <w:shd w:fill="FFFFFF" w:val="clear"/>
            <w:vAlign w:val="center"/>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Total construction and land development loans</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4"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146,273</w:t>
            </w:r>
          </w:p>
        </w:tc>
        <w:tc>
          <w:tcPr>
            <w:tcW w:w="66" w:type="dxa"/>
            <w:tcBorders>
              <w:bottom w:val="double" w:sz="6" w:space="0" w:color="000000"/>
            </w:tcBorders>
            <w:shd w:fill="FFFFFF" w:val="clear"/>
            <w:tcMar>
              <w:bottom w:w="28" w:type="dxa"/>
            </w:tcMar>
            <w:vAlign w:val="center"/>
          </w:tcPr>
          <w:p>
            <w:pPr>
              <w:pStyle w:val="TableContents"/>
              <w:bidi w:val="0"/>
              <w:spacing w:before="0" w:after="0"/>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6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4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bottom w:val="double" w:sz="6" w:space="0" w:color="000000"/>
            </w:tcBorders>
            <w:shd w:fill="FFFFFF" w:val="clear"/>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77"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155,464</w:t>
            </w:r>
          </w:p>
        </w:tc>
        <w:tc>
          <w:tcPr>
            <w:tcW w:w="85" w:type="dxa"/>
            <w:tcBorders>
              <w:bottom w:val="double" w:sz="6" w:space="0" w:color="000000"/>
            </w:tcBorders>
            <w:shd w:fill="FFFFFF" w:val="clear"/>
            <w:tcMar>
              <w:bottom w:w="28" w:type="dxa"/>
            </w:tcMar>
            <w:vAlign w:val="center"/>
          </w:tcPr>
          <w:p>
            <w:pPr>
              <w:pStyle w:val="TableContents"/>
              <w:bidi w:val="0"/>
              <w:spacing w:before="0" w:after="0"/>
              <w:jc w:val="left"/>
              <w:rPr/>
            </w:pPr>
            <w:r>
              <w:rPr/>
              <w:t> </w:t>
            </w:r>
          </w:p>
        </w:tc>
        <w:tc>
          <w:tcPr>
            <w:tcW w:w="85" w:type="dxa"/>
            <w:tcBorders/>
            <w:shd w:fill="FFFFFF" w:val="clear"/>
            <w:vAlign w:val="center"/>
          </w:tcPr>
          <w:p>
            <w:pPr>
              <w:pStyle w:val="TableContents"/>
              <w:bidi w:val="0"/>
              <w:spacing w:before="0" w:after="283"/>
              <w:ind w:left="0" w:right="0" w:hanging="0"/>
              <w:jc w:val="left"/>
              <w:rPr/>
            </w:pPr>
            <w:r>
              <w:rPr/>
              <w:t> </w:t>
            </w:r>
          </w:p>
        </w:tc>
        <w:tc>
          <w:tcPr>
            <w:tcW w:w="8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8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bottom w:val="double" w:sz="6" w:space="0" w:color="000000"/>
            </w:tcBorders>
            <w:shd w:fill="FFFFFF" w:val="clear"/>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(9,191</w:t>
            </w:r>
          </w:p>
        </w:tc>
        <w:tc>
          <w:tcPr>
            <w:tcW w:w="94" w:type="dxa"/>
            <w:tcBorders>
              <w:bottom w:val="double" w:sz="6" w:space="0" w:color="000000"/>
            </w:tcBorders>
            <w:shd w:fill="FFFFFF" w:val="clear"/>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0" w:type="dxa"/>
            <w:tcBorders/>
            <w:shd w:fill="FFFFFF" w:val="clear"/>
            <w:vAlign w:val="center"/>
          </w:tcPr>
          <w:p>
            <w:pPr>
              <w:pStyle w:val="TableContents"/>
              <w:bidi w:val="0"/>
              <w:spacing w:before="0" w:after="283"/>
              <w:ind w:left="0" w:right="0" w:hanging="0"/>
              <w:jc w:val="left"/>
              <w:rPr/>
            </w:pPr>
            <w:r>
              <w:rPr/>
              <w:t> </w:t>
            </w:r>
          </w:p>
        </w:tc>
        <w:tc>
          <w:tcPr>
            <w:tcW w:w="7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9"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260" w:type="dxa"/>
            <w:tcBorders>
              <w:bottom w:val="double" w:sz="6" w:space="0" w:color="000000"/>
            </w:tcBorders>
            <w:shd w:fill="FFFFFF" w:val="clear"/>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i/>
          <w:caps w:val="false"/>
          <w:smallCaps w:val="false"/>
          <w:sz w:val="20"/>
        </w:rPr>
        <w:t>Commercial and industrial loans</w:t>
      </w:r>
      <w:r>
        <w:rPr>
          <w:rFonts w:ascii="Times New Roman" w:hAnsi="Times New Roman"/>
          <w:caps w:val="false"/>
          <w:smallCaps w:val="false"/>
          <w:sz w:val="20"/>
        </w:rPr>
        <w:t>. C&amp;I loans totaled $152.0 million, or 4.6% of the loan portfolio, as of June 30, 2026. C&amp;I loans increased $11.9 million, or 8.5%, during the first six months of 2026 due in part to an increase in commercial lines of credit, partially offset by decreases in commercial term loans and mortgage warehouse lines of credit.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interest rates on C&amp;I loans are generally based on the Wall Street Journal Prime rate. We originate both variable rate and fixed rate C&amp;I loans. The loans are typically made to small- and medium-sized manufacturing, wholesale, retail and service businesses for working capital needs, business expansions and for international trade financing. C&amp;I loans include lines of credit with a maturity of one year or less, term loans with maturities of five years or less, shared national credits with maturities of five years or less, mortgage warehouse lines with a maturity of one year or less, bank subordinated debentures with a maturity of 10 years and international trade discounts with a maturity of three months or less. Substantially all of our C&amp;I loans are collateralized by business assets or real estate.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i/>
          <w:caps w:val="false"/>
          <w:smallCaps w:val="false"/>
          <w:sz w:val="20"/>
        </w:rPr>
        <w:t>SBA l</w:t>
      </w:r>
      <w:r>
        <w:rPr>
          <w:rFonts w:ascii="Times New Roman" w:hAnsi="Times New Roman"/>
          <w:b/>
          <w:caps w:val="false"/>
          <w:smallCaps w:val="false"/>
          <w:sz w:val="20"/>
        </w:rPr>
        <w:t>oans</w:t>
      </w:r>
      <w:r>
        <w:rPr>
          <w:rFonts w:ascii="Times New Roman" w:hAnsi="Times New Roman"/>
          <w:caps w:val="false"/>
          <w:smallCaps w:val="false"/>
          <w:sz w:val="20"/>
        </w:rPr>
        <w:t>. SBA loans decreased $6.3 million, or 11.3%, to $49.7 million at June 30, 2026 compared to $56.0 million at December 31, 2025. We originated SBA loans of $7.0 million during the first six months of 2026. Offsetting these loan originations were loan sales of $12.1 million and net loan payoffs/paydowns of $1.3 million during the first six months of 2026.</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are designated a Preferred Lender under the SBA Preferred Lender Program. We offer SBA guaranteed loans and mainly originate the SBA 7(a) product, which are variable rate loans, through our loan offices and independent brokers. We generally sell the 75% guaranteed portion of the SBA loans that we originate. Our SBA loans are typically made to small-sized manufacturing, wholesale, retail, hotel/motel and service businesses for working capital needs or business expansions. SBA loans secured by real estate can have any maturity up to 25 years. Typically, non-real estate secured loans mature in less than 10 years. Collateral may also include inventory, accounts receivable, equipment, and includes personal guarantees.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Loan Quality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use what we believe is a comprehensive methodology to monitor credit quality and prudently manage credit concentration within our loan portfolio. Our underwriting policies and practices govern the risk profile and credit and geographic concentration for our loan portfolio. Our comprehensive methodology to monitor these credit quality standards includes a risk classification system that identifies potential problem loans based on risk characteristics by loan class as well as the early identification of deterioration at the individual loan level.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Analysis of the Allowance for Loan Losses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following table presents the ALL, its corresponding percentage of the loan class balance, and the percentage of loan balance to total loans HFI as of the dates indicated:</w:t>
      </w:r>
    </w:p>
    <w:p>
      <w:pPr>
        <w:pStyle w:val="TextBody"/>
        <w:bidi w:val="0"/>
        <w:spacing w:before="0" w:after="0"/>
        <w:ind w:left="0" w:right="0" w:firstLine="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61"/>
        <w:gridCol w:w="60"/>
        <w:gridCol w:w="125"/>
        <w:gridCol w:w="590"/>
        <w:gridCol w:w="60"/>
        <w:gridCol w:w="1563"/>
        <w:gridCol w:w="185"/>
        <w:gridCol w:w="60"/>
        <w:gridCol w:w="125"/>
        <w:gridCol w:w="1017"/>
        <w:gridCol w:w="185"/>
        <w:gridCol w:w="60"/>
        <w:gridCol w:w="125"/>
        <w:gridCol w:w="590"/>
        <w:gridCol w:w="60"/>
        <w:gridCol w:w="1563"/>
        <w:gridCol w:w="185"/>
        <w:gridCol w:w="60"/>
        <w:gridCol w:w="125"/>
        <w:gridCol w:w="1017"/>
        <w:gridCol w:w="189"/>
      </w:tblGrid>
      <w:tr>
        <w:trPr/>
        <w:tc>
          <w:tcPr>
            <w:tcW w:w="22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600" w:type="dxa"/>
            <w:gridSpan w:val="7"/>
            <w:tcBorders>
              <w:bottom w:val="single" w:sz="2" w:space="0" w:color="000000"/>
            </w:tcBorders>
            <w:shd w:fill="FFFFFF" w:val="clear"/>
            <w:tcMar>
              <w:bottom w:w="28"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As of June 30, 2026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600" w:type="dxa"/>
            <w:gridSpan w:val="7"/>
            <w:tcBorders>
              <w:bottom w:val="single" w:sz="2" w:space="0" w:color="000000"/>
            </w:tcBorders>
            <w:shd w:fill="FFFFFF" w:val="clear"/>
            <w:tcMar>
              <w:bottom w:w="28"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As of December 31, 2025</w:t>
            </w:r>
          </w:p>
        </w:tc>
        <w:tc>
          <w:tcPr>
            <w:tcW w:w="189" w:type="dxa"/>
            <w:tcBorders/>
            <w:shd w:fill="FFFFFF" w:val="clear"/>
            <w:vAlign w:val="center"/>
          </w:tcPr>
          <w:p>
            <w:pPr>
              <w:pStyle w:val="TableContents"/>
              <w:bidi w:val="0"/>
              <w:spacing w:before="0" w:after="283"/>
              <w:jc w:val="left"/>
              <w:rPr/>
            </w:pPr>
            <w:r>
              <w:rPr/>
              <w:t> </w:t>
            </w:r>
          </w:p>
        </w:tc>
      </w:tr>
      <w:tr>
        <w:trPr/>
        <w:tc>
          <w:tcPr>
            <w:tcW w:w="22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63"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ALL as a % of Loan Type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 Total Loans</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63"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ALL as a % of Loan Type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 Total Loans</w:t>
            </w:r>
          </w:p>
        </w:tc>
        <w:tc>
          <w:tcPr>
            <w:tcW w:w="189" w:type="dxa"/>
            <w:tcBorders/>
            <w:shd w:fill="FFFFFF" w:val="clear"/>
            <w:vAlign w:val="center"/>
          </w:tcPr>
          <w:p>
            <w:pPr>
              <w:pStyle w:val="TableContents"/>
              <w:bidi w:val="0"/>
              <w:spacing w:before="0" w:after="283"/>
              <w:jc w:val="left"/>
              <w:rPr/>
            </w:pPr>
            <w:r>
              <w:rPr/>
              <w:t> </w:t>
            </w:r>
          </w:p>
        </w:tc>
      </w:tr>
      <w:tr>
        <w:trPr/>
        <w:tc>
          <w:tcPr>
            <w:tcW w:w="226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Loans:</w:t>
            </w:r>
          </w:p>
        </w:tc>
        <w:tc>
          <w:tcPr>
            <w:tcW w:w="60" w:type="dxa"/>
            <w:tcBorders/>
            <w:shd w:fill="FFFFFF" w:val="clear"/>
            <w:vAlign w:val="center"/>
          </w:tcPr>
          <w:p>
            <w:pPr>
              <w:pStyle w:val="TableContents"/>
              <w:bidi w:val="0"/>
              <w:spacing w:before="0" w:after="283"/>
              <w:ind w:left="0" w:right="0" w:hanging="0"/>
              <w:jc w:val="left"/>
              <w:rPr/>
            </w:pPr>
            <w:r>
              <w:rPr/>
              <w:t> </w:t>
            </w:r>
          </w:p>
        </w:tc>
        <w:tc>
          <w:tcPr>
            <w:tcW w:w="7695" w:type="dxa"/>
            <w:gridSpan w:val="18"/>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(dollars in thousands)</w:t>
            </w:r>
          </w:p>
        </w:tc>
        <w:tc>
          <w:tcPr>
            <w:tcW w:w="189" w:type="dxa"/>
            <w:tcBorders/>
            <w:shd w:fill="FFFFFF" w:val="clear"/>
            <w:vAlign w:val="center"/>
          </w:tcPr>
          <w:p>
            <w:pPr>
              <w:pStyle w:val="TableContents"/>
              <w:bidi w:val="0"/>
              <w:spacing w:before="0" w:after="283"/>
              <w:jc w:val="left"/>
              <w:rPr/>
            </w:pPr>
            <w:r>
              <w:rPr/>
              <w:t> </w:t>
            </w:r>
          </w:p>
        </w:tc>
      </w:tr>
      <w:tr>
        <w:trPr/>
        <w:tc>
          <w:tcPr>
            <w:tcW w:w="2261"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Single-family residential mortgages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21,766</w:t>
            </w:r>
          </w:p>
        </w:tc>
        <w:tc>
          <w:tcPr>
            <w:tcW w:w="60" w:type="dxa"/>
            <w:tcBorders/>
            <w:shd w:fill="CCEEFF" w:val="clear"/>
            <w:vAlign w:val="center"/>
          </w:tcPr>
          <w:p>
            <w:pPr>
              <w:pStyle w:val="TableContents"/>
              <w:bidi w:val="0"/>
              <w:spacing w:before="0" w:after="283"/>
              <w:ind w:left="0" w:right="0" w:hanging="0"/>
              <w:jc w:val="left"/>
              <w:rPr/>
            </w:pPr>
            <w:r>
              <w:rPr/>
              <w:t> </w:t>
            </w:r>
          </w:p>
        </w:tc>
        <w:tc>
          <w:tcPr>
            <w:tcW w:w="15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21,585</w:t>
            </w:r>
          </w:p>
        </w:tc>
        <w:tc>
          <w:tcPr>
            <w:tcW w:w="60" w:type="dxa"/>
            <w:tcBorders/>
            <w:shd w:fill="CCEEFF" w:val="clear"/>
            <w:vAlign w:val="center"/>
          </w:tcPr>
          <w:p>
            <w:pPr>
              <w:pStyle w:val="TableContents"/>
              <w:bidi w:val="0"/>
              <w:spacing w:before="0" w:after="283"/>
              <w:ind w:left="0" w:right="0" w:hanging="0"/>
              <w:jc w:val="left"/>
              <w:rPr/>
            </w:pPr>
            <w:r>
              <w:rPr/>
              <w:t> </w:t>
            </w:r>
          </w:p>
        </w:tc>
        <w:tc>
          <w:tcPr>
            <w:tcW w:w="15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1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61" w:type="dxa"/>
            <w:tcBorders/>
            <w:shd w:fill="FFFF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real estate (1)</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17,527</w:t>
            </w:r>
          </w:p>
        </w:tc>
        <w:tc>
          <w:tcPr>
            <w:tcW w:w="60" w:type="dxa"/>
            <w:tcBorders/>
            <w:shd w:fill="FFFFFF" w:val="clear"/>
            <w:vAlign w:val="center"/>
          </w:tcPr>
          <w:p>
            <w:pPr>
              <w:pStyle w:val="TableContents"/>
              <w:bidi w:val="0"/>
              <w:spacing w:before="0" w:after="283"/>
              <w:ind w:left="0" w:right="0" w:hanging="0"/>
              <w:jc w:val="left"/>
              <w:rPr/>
            </w:pPr>
            <w:r>
              <w:rPr/>
              <w:t> </w:t>
            </w:r>
          </w:p>
        </w:tc>
        <w:tc>
          <w:tcPr>
            <w:tcW w:w="15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18,162</w:t>
            </w:r>
          </w:p>
        </w:tc>
        <w:tc>
          <w:tcPr>
            <w:tcW w:w="60" w:type="dxa"/>
            <w:tcBorders/>
            <w:shd w:fill="FFFFFF" w:val="clear"/>
            <w:vAlign w:val="center"/>
          </w:tcPr>
          <w:p>
            <w:pPr>
              <w:pStyle w:val="TableContents"/>
              <w:bidi w:val="0"/>
              <w:spacing w:before="0" w:after="283"/>
              <w:ind w:left="0" w:right="0" w:hanging="0"/>
              <w:jc w:val="left"/>
              <w:rPr/>
            </w:pPr>
            <w:r>
              <w:rPr/>
              <w:t> </w:t>
            </w:r>
          </w:p>
        </w:tc>
        <w:tc>
          <w:tcPr>
            <w:tcW w:w="15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w:t>
            </w:r>
          </w:p>
        </w:tc>
        <w:tc>
          <w:tcPr>
            <w:tcW w:w="1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61"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Construction and land development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1,954</w:t>
            </w:r>
          </w:p>
        </w:tc>
        <w:tc>
          <w:tcPr>
            <w:tcW w:w="60" w:type="dxa"/>
            <w:tcBorders/>
            <w:shd w:fill="CCEEFF" w:val="clear"/>
            <w:vAlign w:val="center"/>
          </w:tcPr>
          <w:p>
            <w:pPr>
              <w:pStyle w:val="TableContents"/>
              <w:bidi w:val="0"/>
              <w:spacing w:before="0" w:after="283"/>
              <w:ind w:left="0" w:right="0" w:hanging="0"/>
              <w:jc w:val="left"/>
              <w:rPr/>
            </w:pPr>
            <w:r>
              <w:rPr/>
              <w:t> </w:t>
            </w:r>
          </w:p>
        </w:tc>
        <w:tc>
          <w:tcPr>
            <w:tcW w:w="15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1,502</w:t>
            </w:r>
          </w:p>
        </w:tc>
        <w:tc>
          <w:tcPr>
            <w:tcW w:w="60" w:type="dxa"/>
            <w:tcBorders/>
            <w:shd w:fill="CCEEFF" w:val="clear"/>
            <w:vAlign w:val="center"/>
          </w:tcPr>
          <w:p>
            <w:pPr>
              <w:pStyle w:val="TableContents"/>
              <w:bidi w:val="0"/>
              <w:spacing w:before="0" w:after="283"/>
              <w:ind w:left="0" w:right="0" w:hanging="0"/>
              <w:jc w:val="left"/>
              <w:rPr/>
            </w:pPr>
            <w:r>
              <w:rPr/>
              <w:t> </w:t>
            </w:r>
          </w:p>
        </w:tc>
        <w:tc>
          <w:tcPr>
            <w:tcW w:w="15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1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6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and industrial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1,593</w:t>
            </w:r>
          </w:p>
        </w:tc>
        <w:tc>
          <w:tcPr>
            <w:tcW w:w="60" w:type="dxa"/>
            <w:tcBorders/>
            <w:shd w:fill="FFFFFF" w:val="clear"/>
            <w:vAlign w:val="center"/>
          </w:tcPr>
          <w:p>
            <w:pPr>
              <w:pStyle w:val="TableContents"/>
              <w:bidi w:val="0"/>
              <w:spacing w:before="0" w:after="283"/>
              <w:ind w:left="0" w:right="0" w:hanging="0"/>
              <w:jc w:val="left"/>
              <w:rPr/>
            </w:pPr>
            <w:r>
              <w:rPr/>
              <w:t> </w:t>
            </w:r>
          </w:p>
        </w:tc>
        <w:tc>
          <w:tcPr>
            <w:tcW w:w="15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1,647</w:t>
            </w:r>
          </w:p>
        </w:tc>
        <w:tc>
          <w:tcPr>
            <w:tcW w:w="60" w:type="dxa"/>
            <w:tcBorders/>
            <w:shd w:fill="FFFFFF" w:val="clear"/>
            <w:vAlign w:val="center"/>
          </w:tcPr>
          <w:p>
            <w:pPr>
              <w:pStyle w:val="TableContents"/>
              <w:bidi w:val="0"/>
              <w:spacing w:before="0" w:after="283"/>
              <w:ind w:left="0" w:right="0" w:hanging="0"/>
              <w:jc w:val="left"/>
              <w:rPr/>
            </w:pPr>
            <w:r>
              <w:rPr/>
              <w:t> </w:t>
            </w:r>
          </w:p>
        </w:tc>
        <w:tc>
          <w:tcPr>
            <w:tcW w:w="15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1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61"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SBA</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689</w:t>
            </w:r>
          </w:p>
        </w:tc>
        <w:tc>
          <w:tcPr>
            <w:tcW w:w="60" w:type="dxa"/>
            <w:tcBorders/>
            <w:shd w:fill="CCEEFF" w:val="clear"/>
            <w:vAlign w:val="center"/>
          </w:tcPr>
          <w:p>
            <w:pPr>
              <w:pStyle w:val="TableContents"/>
              <w:bidi w:val="0"/>
              <w:spacing w:before="0" w:after="283"/>
              <w:ind w:left="0" w:right="0" w:hanging="0"/>
              <w:jc w:val="left"/>
              <w:rPr/>
            </w:pPr>
            <w:r>
              <w:rPr/>
              <w:t> </w:t>
            </w:r>
          </w:p>
        </w:tc>
        <w:tc>
          <w:tcPr>
            <w:tcW w:w="15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824</w:t>
            </w:r>
          </w:p>
        </w:tc>
        <w:tc>
          <w:tcPr>
            <w:tcW w:w="60" w:type="dxa"/>
            <w:tcBorders/>
            <w:shd w:fill="CCEEFF" w:val="clear"/>
            <w:vAlign w:val="center"/>
          </w:tcPr>
          <w:p>
            <w:pPr>
              <w:pStyle w:val="TableContents"/>
              <w:bidi w:val="0"/>
              <w:spacing w:before="0" w:after="283"/>
              <w:ind w:left="0" w:right="0" w:hanging="0"/>
              <w:jc w:val="left"/>
              <w:rPr/>
            </w:pPr>
            <w:r>
              <w:rPr/>
              <w:t> </w:t>
            </w:r>
          </w:p>
        </w:tc>
        <w:tc>
          <w:tcPr>
            <w:tcW w:w="15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1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6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w:t>
            </w:r>
          </w:p>
        </w:tc>
        <w:tc>
          <w:tcPr>
            <w:tcW w:w="60" w:type="dxa"/>
            <w:tcBorders/>
            <w:shd w:fill="FFFFFF" w:val="clear"/>
            <w:vAlign w:val="center"/>
          </w:tcPr>
          <w:p>
            <w:pPr>
              <w:pStyle w:val="TableContents"/>
              <w:bidi w:val="0"/>
              <w:spacing w:before="0" w:after="283"/>
              <w:ind w:left="0" w:right="0" w:hanging="0"/>
              <w:jc w:val="left"/>
              <w:rPr/>
            </w:pPr>
            <w:r>
              <w:rPr/>
              <w:t> </w:t>
            </w:r>
          </w:p>
        </w:tc>
        <w:tc>
          <w:tcPr>
            <w:tcW w:w="15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168</w:t>
            </w:r>
          </w:p>
        </w:tc>
        <w:tc>
          <w:tcPr>
            <w:tcW w:w="60" w:type="dxa"/>
            <w:tcBorders/>
            <w:shd w:fill="FFFFFF" w:val="clear"/>
            <w:vAlign w:val="center"/>
          </w:tcPr>
          <w:p>
            <w:pPr>
              <w:pStyle w:val="TableContents"/>
              <w:bidi w:val="0"/>
              <w:spacing w:before="0" w:after="283"/>
              <w:ind w:left="0" w:right="0" w:hanging="0"/>
              <w:jc w:val="left"/>
              <w:rPr/>
            </w:pPr>
            <w:r>
              <w:rPr/>
              <w:t> </w:t>
            </w:r>
          </w:p>
        </w:tc>
        <w:tc>
          <w:tcPr>
            <w:tcW w:w="15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loan losses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43,660</w:t>
            </w:r>
          </w:p>
        </w:tc>
        <w:tc>
          <w:tcPr>
            <w:tcW w:w="60" w:type="dxa"/>
            <w:tcBorders/>
            <w:shd w:fill="CCEEFF" w:val="clear"/>
            <w:vAlign w:val="center"/>
          </w:tcPr>
          <w:p>
            <w:pPr>
              <w:pStyle w:val="TableContents"/>
              <w:bidi w:val="0"/>
              <w:spacing w:before="0" w:after="0"/>
              <w:ind w:left="0" w:right="0" w:hanging="0"/>
              <w:jc w:val="left"/>
              <w:rPr/>
            </w:pPr>
            <w:r>
              <w:rPr/>
              <w:t> </w:t>
            </w:r>
          </w:p>
        </w:tc>
        <w:tc>
          <w:tcPr>
            <w:tcW w:w="15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c>
          <w:tcPr>
            <w:tcW w:w="1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bottom w:val="double" w:sz="6" w:space="0" w:color="000000"/>
            </w:tcBorders>
            <w:shd w:fill="CCEEFF" w:val="clear"/>
            <w:tcMar>
              <w:bottom w:w="45"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43,888</w:t>
            </w:r>
          </w:p>
        </w:tc>
        <w:tc>
          <w:tcPr>
            <w:tcW w:w="60" w:type="dxa"/>
            <w:tcBorders/>
            <w:shd w:fill="CCEEFF" w:val="clear"/>
            <w:vAlign w:val="center"/>
          </w:tcPr>
          <w:p>
            <w:pPr>
              <w:pStyle w:val="TableContents"/>
              <w:bidi w:val="0"/>
              <w:spacing w:before="0" w:after="0"/>
              <w:ind w:left="0" w:right="0" w:hanging="0"/>
              <w:jc w:val="left"/>
              <w:rPr/>
            </w:pPr>
            <w:r>
              <w:rPr/>
              <w:t> </w:t>
            </w:r>
          </w:p>
        </w:tc>
        <w:tc>
          <w:tcPr>
            <w:tcW w:w="15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c>
          <w:tcPr>
            <w:tcW w:w="1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189" w:type="dxa"/>
            <w:tcBorders>
              <w:bottom w:val="double" w:sz="6" w:space="0" w:color="000000"/>
            </w:tcBorders>
            <w:shd w:fill="CCEEFF" w:val="clear"/>
            <w:tcMar>
              <w:bottom w:w="45"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HorizontalLine"/>
        <w:pBdr>
          <w:bottom w:val="double" w:sz="2" w:space="0" w:color="808080"/>
        </w:pBdr>
        <w:bidi w:val="0"/>
        <w:spacing w:before="0" w:after="283"/>
        <w:jc w:val="left"/>
        <w:rPr/>
      </w:pPr>
      <w:r>
        <w:rPr/>
      </w:r>
    </w:p>
    <w:tbl>
      <w:tblPr>
        <w:tblW w:w="8785" w:type="dxa"/>
        <w:jc w:val="left"/>
        <w:tblInd w:w="0" w:type="dxa"/>
        <w:tblLayout w:type="fixed"/>
        <w:tblCellMar>
          <w:top w:w="0" w:type="dxa"/>
          <w:left w:w="0" w:type="dxa"/>
          <w:bottom w:w="0" w:type="dxa"/>
          <w:right w:w="0" w:type="dxa"/>
        </w:tblCellMar>
      </w:tblPr>
      <w:tblGrid>
        <w:gridCol w:w="60"/>
        <w:gridCol w:w="230"/>
        <w:gridCol w:w="849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both"/>
              <w:rPr>
                <w:rFonts w:ascii="Times New Roman" w:hAnsi="Times New Roman"/>
                <w:caps w:val="false"/>
                <w:smallCaps w:val="false"/>
                <w:sz w:val="16"/>
              </w:rPr>
            </w:pPr>
            <w:r>
              <w:rPr>
                <w:rFonts w:ascii="Times New Roman" w:hAnsi="Times New Roman"/>
                <w:caps w:val="false"/>
                <w:smallCaps w:val="false"/>
                <w:sz w:val="16"/>
              </w:rPr>
              <w:t>(1)</w:t>
            </w:r>
          </w:p>
        </w:tc>
        <w:tc>
          <w:tcPr>
            <w:tcW w:w="8495" w:type="dxa"/>
            <w:tcBorders/>
            <w:vAlign w:val="center"/>
          </w:tcPr>
          <w:p>
            <w:pPr>
              <w:pStyle w:val="TableContents"/>
              <w:bidi w:val="0"/>
              <w:spacing w:before="0" w:after="0"/>
              <w:ind w:left="0" w:right="0" w:hanging="0"/>
              <w:jc w:val="both"/>
              <w:rPr>
                <w:rFonts w:ascii="Times New Roman" w:hAnsi="Times New Roman"/>
                <w:caps w:val="false"/>
                <w:smallCaps w:val="false"/>
                <w:sz w:val="16"/>
              </w:rPr>
            </w:pPr>
            <w:r>
              <w:rPr>
                <w:rFonts w:ascii="Times New Roman" w:hAnsi="Times New Roman"/>
                <w:caps w:val="false"/>
                <w:smallCaps w:val="false"/>
                <w:sz w:val="16"/>
              </w:rPr>
              <w:t>Includes non-farm and non-residential real estate loans, multi-family residential loans and non-owner occupied SFR loans.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Allowance for Credit Losses - Loans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ACL includes the ALL and the reserve for unfunded commitments ("RUC") and is maintained at a level deemed appropriate by management to provide for expected credit losses in the portfolio as of the date of the consolidated balance sheets. The RUC is included in "Accrued interest and other liabilities" on the consolidated balance sheets. Estimating expected credit losses requires management to use relevant forward looking information, including the use of reasonable and supportable forecasts. The measurement of the ACL for loans is performed by collectively evaluating loans with similar risk characteristics. We have elected to utilize a discounted cash flow approach for all segments except consumer loans and warehouse mortgage loans; for these a remaining life approach was elected.</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discounted cash flow loss rate methodology incorporates a probability of default, loss given default and exposure at default to derive expected loss within the CECL model, as well as expectations of future economic conditions, using reasonable and supportable forecasts. We use both internal and external data to determine qualitative factors within the CECL model including: lending policies, procedures, and strategies; changes in nature and volume of the portfolio; credit and lending personnel experience; changes in volume and trends in classified, delinquent, and nonaccrual loans; concentration risk; collateral values; regulatory and business environment; loan review results; and economic conditions.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Management estimates the allowance balance required using past loan loss experience from peers with similar asset sizes and geographic locations to the Company. The nature and volume of the portfolio, information about specific borrower situations, changes in credit quality and estimated collateral values, economic conditions, and other factors are also considered. Our CECL methodology utilizes a four-quarter reasonable and supportable forecast period, and a four-quarter reversion period. We use the Federal Open Market Committee forecasts for the national unemployment rate, while reverting to historical loss information.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Individual loans considered to be uncollectible are charged off against the ACL. Factors used in determining the amount and timing of charge-offs on loans include consideration of the loan type, length of delinquency, sufficiency of collateral value, lien priority and the overall financial condition of the borrower. Loans deemed to be collateral-dependent are reviewed individually based on the estimated fair value of the collateral less selling costs. Collateral value is determined using appraisals and/or other market comparable information. Charge-offs are generally taken on loans when the loan balance is determined to be uncollectible. Recoveries on loans previously charged off are added to the ACL. Net charge-offs on an annualized basis represented 0.01% of average loans for the three months ended June 30, 2026 and 0.42% of average loans for the three months ended June 30, 2025.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As of June 30, 2026, the ACL totaled $44.1 million and was comprised of an ALL of $43.7 million and a RUC of $407,000. This compares to the ACL of $44.4 million comprised of an ALL of $43.9 million and a RUC of $484,000 at December 31, 2025. The $305,000 decrease in the ACL for the first six months of 2026 was due to net charge-offs of $105,000 and a $200,000 reversal of provision for credit losses. The ALL as a percentage of loans HFI was 1.32% at June 30, 2026 and December 31, 2025. The ALL as a percentage of nonperforming loans HFI increased to 184% at June 30, 2026, as compared to 99% at December 31, 2025 resulting from a decrease in nonperforming loans during the first six months of 2026.</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following table provides an analysis of the ACL, provision for credit losses and net charge-offs for the periods indicated:</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030"/>
        <w:gridCol w:w="60"/>
        <w:gridCol w:w="161"/>
        <w:gridCol w:w="1092"/>
        <w:gridCol w:w="298"/>
        <w:gridCol w:w="77"/>
        <w:gridCol w:w="161"/>
        <w:gridCol w:w="1092"/>
        <w:gridCol w:w="226"/>
        <w:gridCol w:w="60"/>
        <w:gridCol w:w="151"/>
        <w:gridCol w:w="1030"/>
        <w:gridCol w:w="280"/>
        <w:gridCol w:w="73"/>
        <w:gridCol w:w="151"/>
        <w:gridCol w:w="1030"/>
        <w:gridCol w:w="233"/>
      </w:tblGrid>
      <w:tr>
        <w:trPr/>
        <w:tc>
          <w:tcPr>
            <w:tcW w:w="40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8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Three Months Ended June 30,</w:t>
            </w:r>
          </w:p>
        </w:tc>
        <w:tc>
          <w:tcPr>
            <w:tcW w:w="2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1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Six Months Ended June 30,</w:t>
            </w:r>
          </w:p>
        </w:tc>
        <w:tc>
          <w:tcPr>
            <w:tcW w:w="233" w:type="dxa"/>
            <w:tcBorders/>
            <w:shd w:fill="FFFFFF" w:val="clear"/>
            <w:vAlign w:val="center"/>
          </w:tcPr>
          <w:p>
            <w:pPr>
              <w:pStyle w:val="TableContents"/>
              <w:bidi w:val="0"/>
              <w:spacing w:before="0" w:after="283"/>
              <w:jc w:val="left"/>
              <w:rPr/>
            </w:pPr>
            <w:r>
              <w:rPr/>
              <w:t> </w:t>
            </w:r>
          </w:p>
        </w:tc>
      </w:tr>
      <w:tr>
        <w:trPr/>
        <w:tc>
          <w:tcPr>
            <w:tcW w:w="40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298"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2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2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28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118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233" w:type="dxa"/>
            <w:tcBorders/>
            <w:shd w:fill="FFFFFF" w:val="clear"/>
            <w:vAlign w:val="center"/>
          </w:tcPr>
          <w:p>
            <w:pPr>
              <w:pStyle w:val="TableContents"/>
              <w:bidi w:val="0"/>
              <w:spacing w:before="0" w:after="283"/>
              <w:jc w:val="left"/>
              <w:rPr/>
            </w:pPr>
            <w:r>
              <w:rPr/>
              <w:t> </w:t>
            </w:r>
          </w:p>
        </w:tc>
      </w:tr>
      <w:tr>
        <w:trPr/>
        <w:tc>
          <w:tcPr>
            <w:tcW w:w="403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Allowance for Loan Loss</w:t>
            </w:r>
          </w:p>
        </w:tc>
        <w:tc>
          <w:tcPr>
            <w:tcW w:w="60" w:type="dxa"/>
            <w:tcBorders/>
            <w:shd w:fill="FFFFFF" w:val="clear"/>
            <w:vAlign w:val="center"/>
          </w:tcPr>
          <w:p>
            <w:pPr>
              <w:pStyle w:val="TableContents"/>
              <w:bidi w:val="0"/>
              <w:spacing w:before="0" w:after="283"/>
              <w:ind w:left="0" w:right="0" w:hanging="0"/>
              <w:jc w:val="left"/>
              <w:rPr/>
            </w:pPr>
            <w:r>
              <w:rPr/>
              <w:t> </w:t>
            </w:r>
          </w:p>
        </w:tc>
        <w:tc>
          <w:tcPr>
            <w:tcW w:w="5882"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(dollars in thousands)</w:t>
            </w:r>
          </w:p>
        </w:tc>
        <w:tc>
          <w:tcPr>
            <w:tcW w:w="233" w:type="dxa"/>
            <w:tcBorders/>
            <w:shd w:fill="FFFFFF" w:val="clear"/>
            <w:vAlign w:val="center"/>
          </w:tcPr>
          <w:p>
            <w:pPr>
              <w:pStyle w:val="TableContents"/>
              <w:bidi w:val="0"/>
              <w:spacing w:before="0" w:after="283"/>
              <w:jc w:val="left"/>
              <w:rPr/>
            </w:pPr>
            <w:r>
              <w:rPr/>
              <w:t> </w:t>
            </w:r>
          </w:p>
        </w:tc>
      </w:tr>
      <w:tr>
        <w:trPr/>
        <w:tc>
          <w:tcPr>
            <w:tcW w:w="40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beginning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43,666</w:t>
            </w:r>
          </w:p>
        </w:tc>
        <w:tc>
          <w:tcPr>
            <w:tcW w:w="298"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51,932</w:t>
            </w:r>
          </w:p>
        </w:tc>
        <w:tc>
          <w:tcPr>
            <w:tcW w:w="22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43,888</w:t>
            </w:r>
          </w:p>
        </w:tc>
        <w:tc>
          <w:tcPr>
            <w:tcW w:w="28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15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47,729</w:t>
            </w:r>
          </w:p>
        </w:tc>
        <w:tc>
          <w:tcPr>
            <w:tcW w:w="233" w:type="dxa"/>
            <w:tcBorders/>
            <w:shd w:fill="CCEEFF" w:val="clear"/>
            <w:vAlign w:val="center"/>
          </w:tcPr>
          <w:p>
            <w:pPr>
              <w:pStyle w:val="TableContents"/>
              <w:bidi w:val="0"/>
              <w:spacing w:before="0" w:after="283"/>
              <w:jc w:val="left"/>
              <w:rPr/>
            </w:pPr>
            <w:r>
              <w:rPr/>
              <w:t> </w:t>
            </w:r>
          </w:p>
        </w:tc>
      </w:tr>
      <w:tr>
        <w:trPr/>
        <w:tc>
          <w:tcPr>
            <w:tcW w:w="40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Charge-offs:</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r>
      <w:tr>
        <w:trPr/>
        <w:tc>
          <w:tcPr>
            <w:tcW w:w="403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Single-family residential mortgages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1092" w:type="dxa"/>
            <w:tcBorders/>
            <w:shd w:fill="CCEEFF" w:val="clear"/>
            <w:vAlign w:val="center"/>
          </w:tcPr>
          <w:p>
            <w:pPr>
              <w:pStyle w:val="TableContents"/>
              <w:bidi w:val="0"/>
              <w:spacing w:before="0" w:after="283"/>
              <w:ind w:left="0" w:right="0" w:hanging="0"/>
              <w:jc w:val="right"/>
              <w:rPr/>
            </w:pPr>
            <w:r>
              <w:rPr/>
              <w:t>—</w:t>
            </w:r>
          </w:p>
        </w:tc>
        <w:tc>
          <w:tcPr>
            <w:tcW w:w="298"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1092" w:type="dxa"/>
            <w:tcBorders/>
            <w:shd w:fill="CCEEFF" w:val="clear"/>
            <w:vAlign w:val="center"/>
          </w:tcPr>
          <w:p>
            <w:pPr>
              <w:pStyle w:val="TableContents"/>
              <w:bidi w:val="0"/>
              <w:spacing w:before="0" w:after="283"/>
              <w:ind w:left="0" w:right="0" w:hanging="0"/>
              <w:jc w:val="right"/>
              <w:rPr/>
            </w:pPr>
            <w:r>
              <w:rPr/>
              <w:t>—</w:t>
            </w:r>
          </w:p>
        </w:tc>
        <w:tc>
          <w:tcPr>
            <w:tcW w:w="22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30" w:type="dxa"/>
            <w:tcBorders/>
            <w:shd w:fill="CCEEFF" w:val="clear"/>
            <w:vAlign w:val="center"/>
          </w:tcPr>
          <w:p>
            <w:pPr>
              <w:pStyle w:val="TableContents"/>
              <w:bidi w:val="0"/>
              <w:spacing w:before="0" w:after="283"/>
              <w:ind w:left="0" w:right="0" w:hanging="0"/>
              <w:jc w:val="right"/>
              <w:rPr/>
            </w:pPr>
            <w:r>
              <w:rPr/>
              <w:t>—</w:t>
            </w:r>
          </w:p>
        </w:tc>
        <w:tc>
          <w:tcPr>
            <w:tcW w:w="28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(1,246</w:t>
            </w:r>
          </w:p>
        </w:tc>
        <w:tc>
          <w:tcPr>
            <w:tcW w:w="23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3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real estate</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1092" w:type="dxa"/>
            <w:tcBorders/>
            <w:shd w:fill="FFFFFF" w:val="clear"/>
            <w:vAlign w:val="center"/>
          </w:tcPr>
          <w:p>
            <w:pPr>
              <w:pStyle w:val="TableContents"/>
              <w:bidi w:val="0"/>
              <w:spacing w:before="0" w:after="283"/>
              <w:ind w:left="0" w:right="0" w:hanging="0"/>
              <w:jc w:val="right"/>
              <w:rPr/>
            </w:pPr>
            <w:r>
              <w:rPr/>
              <w:t>—</w:t>
            </w:r>
          </w:p>
        </w:tc>
        <w:tc>
          <w:tcPr>
            <w:tcW w:w="298"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10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(3,275</w:t>
            </w:r>
          </w:p>
        </w:tc>
        <w:tc>
          <w:tcPr>
            <w:tcW w:w="22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30" w:type="dxa"/>
            <w:tcBorders/>
            <w:shd w:fill="FFFFFF" w:val="clear"/>
            <w:vAlign w:val="center"/>
          </w:tcPr>
          <w:p>
            <w:pPr>
              <w:pStyle w:val="TableContents"/>
              <w:bidi w:val="0"/>
              <w:spacing w:before="0" w:after="283"/>
              <w:ind w:left="0" w:right="0" w:hanging="0"/>
              <w:jc w:val="right"/>
              <w:rPr/>
            </w:pPr>
            <w:r>
              <w:rPr/>
              <w:t>—</w:t>
            </w:r>
          </w:p>
        </w:tc>
        <w:tc>
          <w:tcPr>
            <w:tcW w:w="28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(3,275</w:t>
            </w:r>
          </w:p>
        </w:tc>
        <w:tc>
          <w:tcPr>
            <w:tcW w:w="23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3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Construction and land development</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1092" w:type="dxa"/>
            <w:tcBorders/>
            <w:shd w:fill="CCEEFF" w:val="clear"/>
            <w:vAlign w:val="center"/>
          </w:tcPr>
          <w:p>
            <w:pPr>
              <w:pStyle w:val="TableContents"/>
              <w:bidi w:val="0"/>
              <w:spacing w:before="0" w:after="283"/>
              <w:ind w:left="0" w:right="0" w:hanging="0"/>
              <w:jc w:val="right"/>
              <w:rPr/>
            </w:pPr>
            <w:r>
              <w:rPr/>
              <w:t>—</w:t>
            </w:r>
          </w:p>
        </w:tc>
        <w:tc>
          <w:tcPr>
            <w:tcW w:w="298"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10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2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30" w:type="dxa"/>
            <w:tcBorders/>
            <w:shd w:fill="CCEEFF" w:val="clear"/>
            <w:vAlign w:val="center"/>
          </w:tcPr>
          <w:p>
            <w:pPr>
              <w:pStyle w:val="TableContents"/>
              <w:bidi w:val="0"/>
              <w:spacing w:before="0" w:after="283"/>
              <w:ind w:left="0" w:right="0" w:hanging="0"/>
              <w:jc w:val="right"/>
              <w:rPr/>
            </w:pPr>
            <w:r>
              <w:rPr/>
              <w:t>—</w:t>
            </w:r>
          </w:p>
        </w:tc>
        <w:tc>
          <w:tcPr>
            <w:tcW w:w="28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(1,403</w:t>
            </w:r>
          </w:p>
        </w:tc>
        <w:tc>
          <w:tcPr>
            <w:tcW w:w="23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3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and industrial</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10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p>
        </w:tc>
        <w:tc>
          <w:tcPr>
            <w:tcW w:w="29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10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22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w:t>
            </w:r>
          </w:p>
        </w:tc>
        <w:tc>
          <w:tcPr>
            <w:tcW w:w="2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w:t>
            </w:r>
          </w:p>
        </w:tc>
        <w:tc>
          <w:tcPr>
            <w:tcW w:w="23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3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SBA</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1092" w:type="dxa"/>
            <w:tcBorders/>
            <w:shd w:fill="CCEEFF" w:val="clear"/>
            <w:vAlign w:val="center"/>
          </w:tcPr>
          <w:p>
            <w:pPr>
              <w:pStyle w:val="TableContents"/>
              <w:bidi w:val="0"/>
              <w:spacing w:before="0" w:after="283"/>
              <w:ind w:left="0" w:right="0" w:hanging="0"/>
              <w:jc w:val="right"/>
              <w:rPr/>
            </w:pPr>
            <w:r>
              <w:rPr/>
              <w:t>—</w:t>
            </w:r>
          </w:p>
        </w:tc>
        <w:tc>
          <w:tcPr>
            <w:tcW w:w="298"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10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2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2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23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3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29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FFFFFF" w:val="clear"/>
            <w:vAlign w:val="center"/>
          </w:tcPr>
          <w:p>
            <w:pPr>
              <w:pStyle w:val="TableContents"/>
              <w:bidi w:val="0"/>
              <w:spacing w:before="0" w:after="283"/>
              <w:jc w:val="left"/>
              <w:rPr/>
            </w:pPr>
            <w:r>
              <w:rPr/>
              <w:t> </w:t>
            </w:r>
          </w:p>
        </w:tc>
        <w:tc>
          <w:tcPr>
            <w:tcW w:w="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22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2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23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charge-offs</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w:t>
            </w:r>
          </w:p>
        </w:tc>
        <w:tc>
          <w:tcPr>
            <w:tcW w:w="29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CCEEFF" w:val="clear"/>
            <w:vAlign w:val="center"/>
          </w:tcPr>
          <w:p>
            <w:pPr>
              <w:pStyle w:val="TableContents"/>
              <w:bidi w:val="0"/>
              <w:spacing w:before="0" w:after="283"/>
              <w:jc w:val="left"/>
              <w:rPr/>
            </w:pPr>
            <w:r>
              <w:rPr/>
              <w:t> </w:t>
            </w:r>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(3,339</w:t>
            </w:r>
          </w:p>
        </w:tc>
        <w:tc>
          <w:tcPr>
            <w:tcW w:w="2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w:t>
            </w:r>
          </w:p>
        </w:tc>
        <w:tc>
          <w:tcPr>
            <w:tcW w:w="2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(6,066</w:t>
            </w:r>
          </w:p>
        </w:tc>
        <w:tc>
          <w:tcPr>
            <w:tcW w:w="23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Recoveries:</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r>
      <w:tr>
        <w:trPr/>
        <w:tc>
          <w:tcPr>
            <w:tcW w:w="403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real estate</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10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298"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1092" w:type="dxa"/>
            <w:tcBorders/>
            <w:shd w:fill="CCEEFF" w:val="clear"/>
            <w:vAlign w:val="center"/>
          </w:tcPr>
          <w:p>
            <w:pPr>
              <w:pStyle w:val="TableContents"/>
              <w:bidi w:val="0"/>
              <w:spacing w:before="0" w:after="283"/>
              <w:ind w:left="0" w:right="0" w:hanging="0"/>
              <w:jc w:val="right"/>
              <w:rPr/>
            </w:pPr>
            <w:r>
              <w:rPr/>
              <w:t>—</w:t>
            </w:r>
          </w:p>
        </w:tc>
        <w:tc>
          <w:tcPr>
            <w:tcW w:w="22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28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30" w:type="dxa"/>
            <w:tcBorders/>
            <w:shd w:fill="CCEEFF" w:val="clear"/>
            <w:vAlign w:val="center"/>
          </w:tcPr>
          <w:p>
            <w:pPr>
              <w:pStyle w:val="TableContents"/>
              <w:bidi w:val="0"/>
              <w:spacing w:before="0" w:after="283"/>
              <w:ind w:left="0" w:right="0" w:hanging="0"/>
              <w:jc w:val="right"/>
              <w:rPr/>
            </w:pPr>
            <w:r>
              <w:rPr/>
              <w:t>—</w:t>
            </w:r>
          </w:p>
        </w:tc>
        <w:tc>
          <w:tcPr>
            <w:tcW w:w="233" w:type="dxa"/>
            <w:tcBorders/>
            <w:shd w:fill="CCEEFF" w:val="clear"/>
            <w:vAlign w:val="center"/>
          </w:tcPr>
          <w:p>
            <w:pPr>
              <w:pStyle w:val="TableContents"/>
              <w:bidi w:val="0"/>
              <w:spacing w:before="0" w:after="283"/>
              <w:jc w:val="left"/>
              <w:rPr/>
            </w:pPr>
            <w:r>
              <w:rPr/>
              <w:t> </w:t>
            </w:r>
          </w:p>
        </w:tc>
      </w:tr>
      <w:tr>
        <w:trPr/>
        <w:tc>
          <w:tcPr>
            <w:tcW w:w="403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and industrial</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1092" w:type="dxa"/>
            <w:tcBorders/>
            <w:shd w:fill="FFFFFF" w:val="clear"/>
            <w:vAlign w:val="center"/>
          </w:tcPr>
          <w:p>
            <w:pPr>
              <w:pStyle w:val="TableContents"/>
              <w:bidi w:val="0"/>
              <w:spacing w:before="0" w:after="283"/>
              <w:ind w:left="0" w:right="0" w:hanging="0"/>
              <w:jc w:val="right"/>
              <w:rPr/>
            </w:pPr>
            <w:r>
              <w:rPr/>
              <w:t>—</w:t>
            </w:r>
          </w:p>
        </w:tc>
        <w:tc>
          <w:tcPr>
            <w:tcW w:w="298"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1092" w:type="dxa"/>
            <w:tcBorders/>
            <w:shd w:fill="FFFFFF" w:val="clear"/>
            <w:vAlign w:val="center"/>
          </w:tcPr>
          <w:p>
            <w:pPr>
              <w:pStyle w:val="TableContents"/>
              <w:bidi w:val="0"/>
              <w:spacing w:before="0" w:after="283"/>
              <w:ind w:left="0" w:right="0" w:hanging="0"/>
              <w:jc w:val="right"/>
              <w:rPr/>
            </w:pPr>
            <w:r>
              <w:rPr/>
              <w:t>—</w:t>
            </w:r>
          </w:p>
        </w:tc>
        <w:tc>
          <w:tcPr>
            <w:tcW w:w="2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28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w:t>
            </w:r>
          </w:p>
        </w:tc>
        <w:tc>
          <w:tcPr>
            <w:tcW w:w="233" w:type="dxa"/>
            <w:tcBorders/>
            <w:shd w:fill="FFFFFF" w:val="clear"/>
            <w:vAlign w:val="center"/>
          </w:tcPr>
          <w:p>
            <w:pPr>
              <w:pStyle w:val="TableContents"/>
              <w:bidi w:val="0"/>
              <w:spacing w:before="0" w:after="283"/>
              <w:jc w:val="left"/>
              <w:rPr/>
            </w:pPr>
            <w:r>
              <w:rPr/>
              <w:t> </w:t>
            </w:r>
          </w:p>
        </w:tc>
      </w:tr>
      <w:tr>
        <w:trPr/>
        <w:tc>
          <w:tcPr>
            <w:tcW w:w="403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10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298"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10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22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28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233" w:type="dxa"/>
            <w:tcBorders/>
            <w:shd w:fill="CCEEFF" w:val="clear"/>
            <w:vAlign w:val="center"/>
          </w:tcPr>
          <w:p>
            <w:pPr>
              <w:pStyle w:val="TableContents"/>
              <w:bidi w:val="0"/>
              <w:spacing w:before="0" w:after="283"/>
              <w:jc w:val="left"/>
              <w:rPr/>
            </w:pPr>
            <w:r>
              <w:rPr/>
              <w:t> </w:t>
            </w:r>
          </w:p>
        </w:tc>
      </w:tr>
      <w:tr>
        <w:trPr/>
        <w:tc>
          <w:tcPr>
            <w:tcW w:w="40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recoveries</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298"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2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28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w:t>
            </w:r>
          </w:p>
        </w:tc>
        <w:tc>
          <w:tcPr>
            <w:tcW w:w="233" w:type="dxa"/>
            <w:tcBorders/>
            <w:shd w:fill="FFFFFF" w:val="clear"/>
            <w:vAlign w:val="center"/>
          </w:tcPr>
          <w:p>
            <w:pPr>
              <w:pStyle w:val="TableContents"/>
              <w:bidi w:val="0"/>
              <w:spacing w:before="0" w:after="283"/>
              <w:jc w:val="left"/>
              <w:rPr/>
            </w:pPr>
            <w:r>
              <w:rPr/>
              <w:t> </w:t>
            </w:r>
          </w:p>
        </w:tc>
      </w:tr>
      <w:tr>
        <w:trPr/>
        <w:tc>
          <w:tcPr>
            <w:tcW w:w="40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charge-offs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10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w:t>
            </w:r>
          </w:p>
        </w:tc>
        <w:tc>
          <w:tcPr>
            <w:tcW w:w="29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10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(3,305</w:t>
            </w:r>
          </w:p>
        </w:tc>
        <w:tc>
          <w:tcPr>
            <w:tcW w:w="2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w:t>
            </w:r>
          </w:p>
        </w:tc>
        <w:tc>
          <w:tcPr>
            <w:tcW w:w="2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(5,948</w:t>
            </w:r>
          </w:p>
        </w:tc>
        <w:tc>
          <w:tcPr>
            <w:tcW w:w="23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(reversal of) credit losses - loans</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w:t>
            </w:r>
          </w:p>
        </w:tc>
        <w:tc>
          <w:tcPr>
            <w:tcW w:w="298"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2,387</w:t>
            </w:r>
          </w:p>
        </w:tc>
        <w:tc>
          <w:tcPr>
            <w:tcW w:w="2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w:t>
            </w:r>
          </w:p>
        </w:tc>
        <w:tc>
          <w:tcPr>
            <w:tcW w:w="2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9,233</w:t>
            </w:r>
          </w:p>
        </w:tc>
        <w:tc>
          <w:tcPr>
            <w:tcW w:w="233" w:type="dxa"/>
            <w:tcBorders/>
            <w:shd w:fill="FFFFFF" w:val="clear"/>
            <w:vAlign w:val="center"/>
          </w:tcPr>
          <w:p>
            <w:pPr>
              <w:pStyle w:val="TableContents"/>
              <w:bidi w:val="0"/>
              <w:spacing w:before="0" w:after="283"/>
              <w:jc w:val="left"/>
              <w:rPr/>
            </w:pPr>
            <w:r>
              <w:rPr/>
              <w:t> </w:t>
            </w:r>
          </w:p>
        </w:tc>
      </w:tr>
      <w:tr>
        <w:trPr/>
        <w:tc>
          <w:tcPr>
            <w:tcW w:w="40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6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43,660</w:t>
            </w:r>
          </w:p>
        </w:tc>
        <w:tc>
          <w:tcPr>
            <w:tcW w:w="298"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6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51,014</w:t>
            </w:r>
          </w:p>
        </w:tc>
        <w:tc>
          <w:tcPr>
            <w:tcW w:w="22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43,660</w:t>
            </w:r>
          </w:p>
        </w:tc>
        <w:tc>
          <w:tcPr>
            <w:tcW w:w="28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51,014</w:t>
            </w:r>
          </w:p>
        </w:tc>
        <w:tc>
          <w:tcPr>
            <w:tcW w:w="233" w:type="dxa"/>
            <w:tcBorders/>
            <w:shd w:fill="CCEEFF" w:val="clear"/>
            <w:vAlign w:val="center"/>
          </w:tcPr>
          <w:p>
            <w:pPr>
              <w:pStyle w:val="TableContents"/>
              <w:bidi w:val="0"/>
              <w:spacing w:before="0" w:after="283"/>
              <w:jc w:val="left"/>
              <w:rPr/>
            </w:pPr>
            <w:r>
              <w:rPr/>
              <w:t> </w:t>
            </w:r>
          </w:p>
        </w:tc>
      </w:tr>
      <w:tr>
        <w:trPr/>
        <w:tc>
          <w:tcPr>
            <w:tcW w:w="40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r>
      <w:tr>
        <w:trPr/>
        <w:tc>
          <w:tcPr>
            <w:tcW w:w="40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Reserve for unfunded commitments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092"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092"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r>
      <w:tr>
        <w:trPr/>
        <w:tc>
          <w:tcPr>
            <w:tcW w:w="40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beginning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6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w:t>
            </w:r>
          </w:p>
        </w:tc>
        <w:tc>
          <w:tcPr>
            <w:tcW w:w="298"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6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629</w:t>
            </w:r>
          </w:p>
        </w:tc>
        <w:tc>
          <w:tcPr>
            <w:tcW w:w="2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w:t>
            </w:r>
          </w:p>
        </w:tc>
        <w:tc>
          <w:tcPr>
            <w:tcW w:w="28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15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729</w:t>
            </w:r>
          </w:p>
        </w:tc>
        <w:tc>
          <w:tcPr>
            <w:tcW w:w="233" w:type="dxa"/>
            <w:tcBorders/>
            <w:shd w:fill="FFFFFF" w:val="clear"/>
            <w:vAlign w:val="center"/>
          </w:tcPr>
          <w:p>
            <w:pPr>
              <w:pStyle w:val="TableContents"/>
              <w:bidi w:val="0"/>
              <w:spacing w:before="0" w:after="283"/>
              <w:jc w:val="left"/>
              <w:rPr/>
            </w:pPr>
            <w:r>
              <w:rPr/>
              <w:t> </w:t>
            </w:r>
          </w:p>
        </w:tc>
      </w:tr>
      <w:tr>
        <w:trPr/>
        <w:tc>
          <w:tcPr>
            <w:tcW w:w="40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(Reversal of) provision for credit losses - unfunded commitments</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w:t>
            </w:r>
          </w:p>
        </w:tc>
        <w:tc>
          <w:tcPr>
            <w:tcW w:w="29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CCEEFF" w:val="clear"/>
            <w:vAlign w:val="center"/>
          </w:tcPr>
          <w:p>
            <w:pPr>
              <w:pStyle w:val="TableContents"/>
              <w:bidi w:val="0"/>
              <w:spacing w:before="0" w:after="283"/>
              <w:jc w:val="left"/>
              <w:rPr/>
            </w:pPr>
            <w:r>
              <w:rPr/>
              <w:t> </w:t>
            </w:r>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22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w:t>
            </w:r>
          </w:p>
        </w:tc>
        <w:tc>
          <w:tcPr>
            <w:tcW w:w="2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23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3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at the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6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w:t>
            </w:r>
          </w:p>
        </w:tc>
        <w:tc>
          <w:tcPr>
            <w:tcW w:w="298"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6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629</w:t>
            </w:r>
          </w:p>
        </w:tc>
        <w:tc>
          <w:tcPr>
            <w:tcW w:w="2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w:t>
            </w:r>
          </w:p>
        </w:tc>
        <w:tc>
          <w:tcPr>
            <w:tcW w:w="28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629</w:t>
            </w:r>
          </w:p>
        </w:tc>
        <w:tc>
          <w:tcPr>
            <w:tcW w:w="233" w:type="dxa"/>
            <w:tcBorders/>
            <w:shd w:fill="FFFFFF" w:val="clear"/>
            <w:vAlign w:val="center"/>
          </w:tcPr>
          <w:p>
            <w:pPr>
              <w:pStyle w:val="TableContents"/>
              <w:bidi w:val="0"/>
              <w:spacing w:before="0" w:after="283"/>
              <w:jc w:val="left"/>
              <w:rPr/>
            </w:pPr>
            <w:r>
              <w:rPr/>
              <w:t> </w:t>
            </w:r>
          </w:p>
        </w:tc>
      </w:tr>
      <w:tr>
        <w:trPr/>
        <w:tc>
          <w:tcPr>
            <w:tcW w:w="40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092"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092"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r>
      <w:tr>
        <w:trPr/>
        <w:tc>
          <w:tcPr>
            <w:tcW w:w="403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allowance for credit losses</w:t>
            </w:r>
          </w:p>
        </w:tc>
        <w:tc>
          <w:tcPr>
            <w:tcW w:w="60" w:type="dxa"/>
            <w:tcBorders/>
            <w:shd w:fill="FFFFFF" w:val="clear"/>
            <w:vAlign w:val="center"/>
          </w:tcPr>
          <w:p>
            <w:pPr>
              <w:pStyle w:val="TableContents"/>
              <w:bidi w:val="0"/>
              <w:spacing w:before="0" w:after="283"/>
              <w:ind w:left="0" w:right="0" w:hanging="0"/>
              <w:jc w:val="left"/>
              <w:rPr/>
            </w:pPr>
            <w:r>
              <w:rPr/>
              <w:t> </w:t>
            </w:r>
          </w:p>
        </w:tc>
        <w:tc>
          <w:tcPr>
            <w:tcW w:w="16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44,067</w:t>
            </w:r>
          </w:p>
        </w:tc>
        <w:tc>
          <w:tcPr>
            <w:tcW w:w="298"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6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51,643</w:t>
            </w:r>
          </w:p>
        </w:tc>
        <w:tc>
          <w:tcPr>
            <w:tcW w:w="2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44,067</w:t>
            </w:r>
          </w:p>
        </w:tc>
        <w:tc>
          <w:tcPr>
            <w:tcW w:w="28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51,643</w:t>
            </w:r>
          </w:p>
        </w:tc>
        <w:tc>
          <w:tcPr>
            <w:tcW w:w="233" w:type="dxa"/>
            <w:tcBorders/>
            <w:shd w:fill="FFFFFF" w:val="clear"/>
            <w:vAlign w:val="center"/>
          </w:tcPr>
          <w:p>
            <w:pPr>
              <w:pStyle w:val="TableContents"/>
              <w:bidi w:val="0"/>
              <w:spacing w:before="0" w:after="283"/>
              <w:jc w:val="left"/>
              <w:rPr/>
            </w:pPr>
            <w:r>
              <w:rPr/>
              <w:t> </w:t>
            </w:r>
          </w:p>
        </w:tc>
      </w:tr>
      <w:tr>
        <w:trPr/>
        <w:tc>
          <w:tcPr>
            <w:tcW w:w="40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092"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092"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r>
      <w:tr>
        <w:trPr/>
        <w:tc>
          <w:tcPr>
            <w:tcW w:w="40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loans HFI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6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3,309,459</w:t>
            </w:r>
          </w:p>
        </w:tc>
        <w:tc>
          <w:tcPr>
            <w:tcW w:w="298"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6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3,234,695</w:t>
            </w:r>
          </w:p>
        </w:tc>
        <w:tc>
          <w:tcPr>
            <w:tcW w:w="2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3,309,459</w:t>
            </w:r>
          </w:p>
        </w:tc>
        <w:tc>
          <w:tcPr>
            <w:tcW w:w="28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15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3,234,695</w:t>
            </w:r>
          </w:p>
        </w:tc>
        <w:tc>
          <w:tcPr>
            <w:tcW w:w="233" w:type="dxa"/>
            <w:tcBorders/>
            <w:shd w:fill="FFFFFF" w:val="clear"/>
            <w:vAlign w:val="center"/>
          </w:tcPr>
          <w:p>
            <w:pPr>
              <w:pStyle w:val="TableContents"/>
              <w:bidi w:val="0"/>
              <w:spacing w:before="0" w:after="283"/>
              <w:jc w:val="left"/>
              <w:rPr/>
            </w:pPr>
            <w:r>
              <w:rPr/>
              <w:t> </w:t>
            </w:r>
          </w:p>
        </w:tc>
      </w:tr>
      <w:tr>
        <w:trPr/>
        <w:tc>
          <w:tcPr>
            <w:tcW w:w="40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Average loans HFI</w:t>
            </w:r>
          </w:p>
        </w:tc>
        <w:tc>
          <w:tcPr>
            <w:tcW w:w="60" w:type="dxa"/>
            <w:tcBorders/>
            <w:shd w:fill="CCEEFF" w:val="clear"/>
            <w:vAlign w:val="center"/>
          </w:tcPr>
          <w:p>
            <w:pPr>
              <w:pStyle w:val="TableContents"/>
              <w:bidi w:val="0"/>
              <w:spacing w:before="0" w:after="283"/>
              <w:ind w:left="0" w:right="0" w:hanging="0"/>
              <w:jc w:val="left"/>
              <w:rPr/>
            </w:pPr>
            <w:r>
              <w:rP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3,313,904</w:t>
            </w:r>
          </w:p>
        </w:tc>
        <w:tc>
          <w:tcPr>
            <w:tcW w:w="298"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3,171,322</w:t>
            </w:r>
          </w:p>
        </w:tc>
        <w:tc>
          <w:tcPr>
            <w:tcW w:w="22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3,304,794</w:t>
            </w:r>
          </w:p>
        </w:tc>
        <w:tc>
          <w:tcPr>
            <w:tcW w:w="28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15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3,121,070</w:t>
            </w:r>
          </w:p>
        </w:tc>
        <w:tc>
          <w:tcPr>
            <w:tcW w:w="233" w:type="dxa"/>
            <w:tcBorders/>
            <w:shd w:fill="CCEEFF" w:val="clear"/>
            <w:vAlign w:val="center"/>
          </w:tcPr>
          <w:p>
            <w:pPr>
              <w:pStyle w:val="TableContents"/>
              <w:bidi w:val="0"/>
              <w:spacing w:before="0" w:after="283"/>
              <w:jc w:val="left"/>
              <w:rPr/>
            </w:pPr>
            <w:r>
              <w:rPr/>
              <w:t> </w:t>
            </w:r>
          </w:p>
        </w:tc>
      </w:tr>
      <w:tr>
        <w:trPr/>
        <w:tc>
          <w:tcPr>
            <w:tcW w:w="40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charge-offs to average loans HFI</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10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(0.01</w:t>
            </w:r>
          </w:p>
        </w:tc>
        <w:tc>
          <w:tcPr>
            <w:tcW w:w="29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10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(0.42</w:t>
            </w:r>
          </w:p>
        </w:tc>
        <w:tc>
          <w:tcPr>
            <w:tcW w:w="22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(0.01</w:t>
            </w:r>
          </w:p>
        </w:tc>
        <w:tc>
          <w:tcPr>
            <w:tcW w:w="2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(0.38</w:t>
            </w:r>
          </w:p>
        </w:tc>
        <w:tc>
          <w:tcPr>
            <w:tcW w:w="23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Allowance for loan losses to total loans HFI</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10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w:t>
            </w:r>
          </w:p>
        </w:tc>
        <w:tc>
          <w:tcPr>
            <w:tcW w:w="29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10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w:t>
            </w:r>
          </w:p>
        </w:tc>
        <w:tc>
          <w:tcPr>
            <w:tcW w:w="2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w:t>
            </w:r>
          </w:p>
        </w:tc>
        <w:tc>
          <w:tcPr>
            <w:tcW w:w="2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w:t>
            </w:r>
          </w:p>
        </w:tc>
        <w:tc>
          <w:tcPr>
            <w:tcW w:w="23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i/>
          <w:caps w:val="false"/>
          <w:smallCaps w:val="false"/>
          <w:sz w:val="20"/>
        </w:rPr>
        <w:t xml:space="preserve">Problem Loans. </w:t>
      </w:r>
      <w:r>
        <w:rPr>
          <w:rFonts w:ascii="Times New Roman" w:hAnsi="Times New Roman"/>
          <w:caps w:val="false"/>
          <w:smallCaps w:val="false"/>
          <w:sz w:val="20"/>
        </w:rPr>
        <w:t>Loans are considered delinquent when principal or interest payments are past due 30 days or more; delinquent loans may remain on accrual status between 30 days and 89 days past due. Loans on which the accrual of interest has been discontinued are designated as nonaccrual loans. Typically, the accrual of interest on loans is discontinued when principal or interest payments are past due 90 days or when, in the opinion of management, there is a reasonable doubt as to collectability in the normal course of business. When loans are placed on nonaccrual status, all interest previously accrued but not collected is reversed against current period interest income. Income on nonaccrual loans is subsequently recognized only to the extent that cash is received and the loan’s principal balance is deemed collectible. Loans are restored to accrual status when loans become well-secured and management believes full collectability of principal and interest is probable.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cases where a borrower experiences financial difficulties and we make certain concessionary modifications to contractual terms, the loan is classified as a modified loan. These concessions may include a reduction of the interest rate, principal or accrued interest, extension of the maturity date or other actions intended to minimize potential losses. Loans modified at a rate equal to or greater than that of a new loan with comparable risk at the time the loan is modified may be excluded from modified loan disclosures in years subsequent to the modification if the loans are in compliance with their modified terms.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Real estate acquired by foreclosure or deed in lieu of foreclosure is recorded at fair value at the date of foreclosure, establishing a new cost basis (carrying value) by a charge to the allowance for credit losses, if necessary, or a gain recognized through noninterest income, as appropriate. Once classified as an OREO, it is subsequently carried at the lower of the carrying value of the property at foreclosure or its fair value. Fair value is based on current appraisals less estimated selling costs. Any subsequent write-downs are charged against operating expenses and recognized as a valuation allowance. Any recovery of fair value is recognized as recovery of the valuation allowance up to the cost basis of the property at foreclosure. Operating expenses and related income of such properties are included in other operating income and expenses. Gains on transfer of loans to OREO, and gains or losses on their disposition are included in gain/(loss) on OREO.</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Nonperforming loans include nonaccrual loans and loans past due 90 days or more and still accruing interest (of which there were none during the periods presented). The balances of nonperforming loans included in the table below are the net investment in these assets and do not include specific reserves that are included in the ALL. The following table presents the net investment in nonperforming assets by loan class and certain nonperforming asset ratios as of the dates indicated.</w:t>
      </w:r>
    </w:p>
    <w:p>
      <w:pPr>
        <w:pStyle w:val="TextBody"/>
        <w:bidi w:val="0"/>
        <w:spacing w:before="0" w:after="0"/>
        <w:ind w:left="0" w:right="0" w:firstLine="540"/>
        <w:jc w:val="both"/>
        <w:rPr>
          <w:caps w:val="false"/>
          <w:smallCaps w:val="false"/>
        </w:rPr>
      </w:pPr>
      <w:r>
        <w:rPr>
          <w:caps w:val="false"/>
          <w:smallCaps w:val="false"/>
        </w:rPr>
        <w:t> </w:t>
      </w:r>
    </w:p>
    <w:tbl>
      <w:tblPr>
        <w:tblW w:w="8138" w:type="dxa"/>
        <w:jc w:val="left"/>
        <w:tblInd w:w="0" w:type="dxa"/>
        <w:tblLayout w:type="fixed"/>
        <w:tblCellMar>
          <w:top w:w="0" w:type="dxa"/>
          <w:left w:w="0" w:type="dxa"/>
          <w:bottom w:w="0" w:type="dxa"/>
          <w:right w:w="0" w:type="dxa"/>
        </w:tblCellMar>
      </w:tblPr>
      <w:tblGrid>
        <w:gridCol w:w="4805"/>
        <w:gridCol w:w="60"/>
        <w:gridCol w:w="208"/>
        <w:gridCol w:w="981"/>
        <w:gridCol w:w="185"/>
        <w:gridCol w:w="60"/>
        <w:gridCol w:w="284"/>
        <w:gridCol w:w="1355"/>
        <w:gridCol w:w="200"/>
      </w:tblGrid>
      <w:tr>
        <w:trPr/>
        <w:tc>
          <w:tcPr>
            <w:tcW w:w="48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of June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of December 31,</w:t>
            </w:r>
          </w:p>
        </w:tc>
        <w:tc>
          <w:tcPr>
            <w:tcW w:w="200" w:type="dxa"/>
            <w:tcBorders/>
            <w:shd w:fill="FFFFFF" w:val="clear"/>
            <w:vAlign w:val="center"/>
          </w:tcPr>
          <w:p>
            <w:pPr>
              <w:pStyle w:val="TableContents"/>
              <w:bidi w:val="0"/>
              <w:spacing w:before="0" w:after="283"/>
              <w:ind w:left="0" w:right="0" w:hanging="0"/>
              <w:jc w:val="left"/>
              <w:rPr/>
            </w:pPr>
            <w:r>
              <w:rPr/>
              <w:t> </w:t>
            </w:r>
          </w:p>
        </w:tc>
      </w:tr>
      <w:tr>
        <w:trPr/>
        <w:tc>
          <w:tcPr>
            <w:tcW w:w="480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20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r>
      <w:tr>
        <w:trPr/>
        <w:tc>
          <w:tcPr>
            <w:tcW w:w="480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Nonaccrual loans:</w:t>
            </w:r>
          </w:p>
        </w:tc>
        <w:tc>
          <w:tcPr>
            <w:tcW w:w="60" w:type="dxa"/>
            <w:tcBorders/>
            <w:shd w:fill="FFFFFF" w:val="clear"/>
            <w:vAlign w:val="center"/>
          </w:tcPr>
          <w:p>
            <w:pPr>
              <w:pStyle w:val="TableContents"/>
              <w:bidi w:val="0"/>
              <w:spacing w:before="0" w:after="283"/>
              <w:ind w:left="0" w:right="0" w:hanging="0"/>
              <w:jc w:val="left"/>
              <w:rPr/>
            </w:pPr>
            <w:r>
              <w:rPr/>
              <w:t> </w:t>
            </w:r>
          </w:p>
        </w:tc>
        <w:tc>
          <w:tcPr>
            <w:tcW w:w="3073"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(dollars in thousands)</w:t>
            </w:r>
          </w:p>
        </w:tc>
        <w:tc>
          <w:tcPr>
            <w:tcW w:w="200" w:type="dxa"/>
            <w:tcBorders/>
            <w:shd w:fill="FFFFFF" w:val="clear"/>
            <w:vAlign w:val="center"/>
          </w:tcPr>
          <w:p>
            <w:pPr>
              <w:pStyle w:val="TableContents"/>
              <w:bidi w:val="0"/>
              <w:spacing w:before="0" w:after="283"/>
              <w:ind w:left="0" w:right="0" w:hanging="0"/>
              <w:jc w:val="left"/>
              <w:rPr/>
            </w:pPr>
            <w:r>
              <w:rPr/>
              <w:t> </w:t>
            </w:r>
          </w:p>
        </w:tc>
      </w:tr>
      <w:tr>
        <w:trPr/>
        <w:tc>
          <w:tcPr>
            <w:tcW w:w="4805"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Single-family residential mortgages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394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55"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2,143</w:t>
            </w:r>
          </w:p>
        </w:tc>
        <w:tc>
          <w:tcPr>
            <w:tcW w:w="200"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real estate</w:t>
            </w:r>
          </w:p>
        </w:tc>
        <w:tc>
          <w:tcPr>
            <w:tcW w:w="60" w:type="dxa"/>
            <w:tcBorders/>
            <w:shd w:fill="FFFFFF" w:val="clear"/>
            <w:vAlign w:val="center"/>
          </w:tcPr>
          <w:p>
            <w:pPr>
              <w:pStyle w:val="TableContents"/>
              <w:bidi w:val="0"/>
              <w:spacing w:before="0" w:after="283"/>
              <w:ind w:left="0" w:right="0" w:hanging="0"/>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8,146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4" w:type="dxa"/>
            <w:tcBorders/>
            <w:shd w:fill="FFFFFF" w:val="clear"/>
            <w:vAlign w:val="center"/>
          </w:tcPr>
          <w:p>
            <w:pPr>
              <w:pStyle w:val="TableContents"/>
              <w:bidi w:val="0"/>
              <w:spacing w:before="0" w:after="283"/>
              <w:ind w:left="0" w:right="0" w:hanging="0"/>
              <w:jc w:val="left"/>
              <w:rPr/>
            </w:pPr>
            <w:r>
              <w:rPr/>
              <w:t> </w:t>
            </w:r>
          </w:p>
        </w:tc>
        <w:tc>
          <w:tcPr>
            <w:tcW w:w="13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8,158</w:t>
            </w:r>
          </w:p>
        </w:tc>
        <w:tc>
          <w:tcPr>
            <w:tcW w:w="200"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Construction and land development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8,072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ind w:left="0" w:right="0" w:hanging="0"/>
              <w:jc w:val="left"/>
              <w:rPr/>
            </w:pPr>
            <w:r>
              <w:rPr/>
              <w:t> </w:t>
            </w:r>
          </w:p>
        </w:tc>
        <w:tc>
          <w:tcPr>
            <w:tcW w:w="13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27,994</w:t>
            </w:r>
          </w:p>
        </w:tc>
        <w:tc>
          <w:tcPr>
            <w:tcW w:w="200"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and industrial</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ind w:left="0" w:right="0" w:hanging="0"/>
              <w:jc w:val="left"/>
              <w:rPr/>
            </w:pPr>
            <w:r>
              <w:rPr/>
              <w:t> </w:t>
            </w:r>
          </w:p>
        </w:tc>
        <w:tc>
          <w:tcPr>
            <w:tcW w:w="13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5,116</w:t>
            </w:r>
          </w:p>
        </w:tc>
        <w:tc>
          <w:tcPr>
            <w:tcW w:w="200"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SBA</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ind w:left="0" w:right="0" w:hanging="0"/>
              <w:jc w:val="left"/>
              <w:rPr/>
            </w:pPr>
            <w:r>
              <w:rPr/>
              <w:t> </w:t>
            </w:r>
          </w:p>
        </w:tc>
        <w:tc>
          <w:tcPr>
            <w:tcW w:w="13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1,221</w:t>
            </w:r>
          </w:p>
        </w:tc>
        <w:tc>
          <w:tcPr>
            <w:tcW w:w="200"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20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nonaccrual loans</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23,759</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44,632</w:t>
            </w:r>
          </w:p>
        </w:tc>
        <w:tc>
          <w:tcPr>
            <w:tcW w:w="20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nonperforming loans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23,759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ind w:left="0" w:right="0" w:hanging="0"/>
              <w:jc w:val="left"/>
              <w:rPr/>
            </w:pPr>
            <w:r>
              <w:rPr/>
              <w:t> </w:t>
            </w:r>
          </w:p>
        </w:tc>
        <w:tc>
          <w:tcPr>
            <w:tcW w:w="13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44,632</w:t>
            </w:r>
          </w:p>
        </w:tc>
        <w:tc>
          <w:tcPr>
            <w:tcW w:w="200" w:type="dxa"/>
            <w:tcBorders/>
            <w:shd w:fill="FFFFFF" w:val="clear"/>
            <w:vAlign w:val="center"/>
          </w:tcPr>
          <w:p>
            <w:pPr>
              <w:pStyle w:val="TableContents"/>
              <w:bidi w:val="0"/>
              <w:spacing w:before="0" w:after="283"/>
              <w:ind w:left="0" w:right="0" w:hanging="0"/>
              <w:jc w:val="left"/>
              <w:rPr/>
            </w:pPr>
            <w:r>
              <w:rPr/>
              <w:t> </w:t>
            </w:r>
          </w:p>
        </w:tc>
      </w:tr>
      <w:tr>
        <w:trPr/>
        <w:tc>
          <w:tcPr>
            <w:tcW w:w="48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OREO</w:t>
            </w:r>
          </w:p>
        </w:tc>
        <w:tc>
          <w:tcPr>
            <w:tcW w:w="60" w:type="dxa"/>
            <w:tcBorders/>
            <w:shd w:fill="CCEEFF" w:val="clear"/>
            <w:vAlign w:val="center"/>
          </w:tcPr>
          <w:p>
            <w:pPr>
              <w:pStyle w:val="TableContents"/>
              <w:bidi w:val="0"/>
              <w:spacing w:before="0" w:after="0"/>
              <w:ind w:left="0" w:right="0" w:hanging="0"/>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19,820</w:t>
            </w:r>
          </w:p>
        </w:tc>
        <w:tc>
          <w:tcPr>
            <w:tcW w:w="1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8,830</w:t>
            </w:r>
          </w:p>
        </w:tc>
        <w:tc>
          <w:tcPr>
            <w:tcW w:w="20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r>
      <w:tr>
        <w:trPr/>
        <w:tc>
          <w:tcPr>
            <w:tcW w:w="48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Nonperforming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43,579</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53,462</w:t>
            </w:r>
          </w:p>
        </w:tc>
        <w:tc>
          <w:tcPr>
            <w:tcW w:w="20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Nonperforming loans HFI to total loans HFI</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ind w:left="0" w:right="0" w:hanging="0"/>
              <w:jc w:val="left"/>
              <w:rPr/>
            </w:pPr>
            <w:r>
              <w:rPr/>
              <w:t> </w:t>
            </w:r>
          </w:p>
        </w:tc>
        <w:tc>
          <w:tcPr>
            <w:tcW w:w="13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Nonperforming assets to total assets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ind w:left="0" w:right="0" w:hanging="0"/>
              <w:jc w:val="left"/>
              <w:rPr/>
            </w:pPr>
            <w:r>
              <w:rPr/>
              <w:t> </w:t>
            </w:r>
          </w:p>
        </w:tc>
        <w:tc>
          <w:tcPr>
            <w:tcW w:w="13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w:t>
            </w:r>
          </w:p>
        </w:tc>
        <w:tc>
          <w:tcPr>
            <w:tcW w:w="20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Nonperforming loans to tangible common equity and ALL</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4.69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ind w:left="0" w:right="0" w:hanging="0"/>
              <w:jc w:val="left"/>
              <w:rPr/>
            </w:pPr>
            <w:r>
              <w:rPr/>
              <w:t> </w:t>
            </w:r>
          </w:p>
        </w:tc>
        <w:tc>
          <w:tcPr>
            <w:tcW w:w="1355"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9.03</w:t>
            </w:r>
          </w:p>
        </w:tc>
        <w:tc>
          <w:tcPr>
            <w:tcW w:w="20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0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Nonperforming assets to tangible common equity and ALL</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8.61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ind w:left="0" w:right="0" w:hanging="0"/>
              <w:jc w:val="left"/>
              <w:rPr/>
            </w:pPr>
            <w:r>
              <w:rPr/>
              <w:t> </w:t>
            </w:r>
          </w:p>
        </w:tc>
        <w:tc>
          <w:tcPr>
            <w:tcW w:w="1355" w:type="dxa"/>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10.81</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Nonperforming assets totaled $43.6 million, or 1.02% of total assets, at June 30, 2026, down from $53.5 million, or 1.27% of total assets, at December 31, 2025. The $9.9 million decrease in nonperforming assets consisted of a $20.9 million decrease in nonperforming loans partially offset by an $11.0 million increase in OREO. The $20.9 million decrease in nonperforming loans was due to $19.4 million transferred to OREO, $2.1 million in payoffs/paydowns, and $1.9 million upgraded to performing, partially offset by additions of $2.6 million. The $11.0 million increase in OREO included additions of $19.8 million, partially offset by the sale of the existing OREO properties totaling $8.8 million which resulted in a net gain of $669,000.</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30-89 day delinquent loans, excluding nonperforming loans, totaled $9.0 million, or 0.27% of total loans, at June 30, 2026, up from $8.8 million, or 0.27% of total loans, at December 31, 2025. The $181,000 increase was mostly due to $10.3 million in new delinquent loans, partially offset by $8.2 million in SFR mortgage loans returning to current status, $1.3 million in paydowns/payoffs, and $570,000 of loans which migrated to nonperforming.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did not recognize any interest income on nonaccrual loans during the three and six months ended June 30, 2026 and 2025, while the loans were in nonaccrual status.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utilize an asset risk classification system in compliance with guidelines established by the FDIC as part of our efforts to improve asset quality. In connection with examinations of insured institutions, examiners have the authority to identify problem assets and, if appropriate, classify them. There are three classifications for problem assets: “substandard,” “doubtful,” and “loss.” Substandard assets have one or more defined weaknesses and are characterized by the distinct possibility that the insured institution will sustain some loss if the deficiencies are not corrected. Doubtful assets have the weaknesses of substandard assets with the additional characteristic that the weaknesses make collection or liquidation in full highly questionable and improbable based on facts, conditions and values that currently exist. An asset classified as loss is not considered collectable and is of such little value that continuance as an asset is not warranted.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use a risk grading system to categorize and determine the credit risk of our loans. Potential problem loans include loans with a risk grade of 6, which are “special mention,” loans with a risk grade of 7, which are “substandard” loans that are generally not considered to be impaired and loans with a risk grade of 8, which are “doubtful” loans generally considered to be impaired. These loans generally require more frequent loan officer contact and receipt of financial data to closely monitor borrower performance. Potential problem loans are managed and monitored regularly through a number of processes, procedures and committees, including oversight by a loan administration committee comprised of executive officers and other members of the Bank’s senior management and the Director's Loan Committee.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following table presents the risk categories for loans HFI, by segment and class, as of the dates indicated:</w:t>
      </w:r>
    </w:p>
    <w:p>
      <w:pPr>
        <w:pStyle w:val="TextBody"/>
        <w:bidi w:val="0"/>
        <w:spacing w:before="0" w:after="0"/>
        <w:ind w:left="0" w:right="0" w:firstLine="540"/>
        <w:jc w:val="both"/>
        <w:rPr>
          <w:caps w:val="false"/>
          <w:smallCaps w:val="false"/>
        </w:rPr>
      </w:pPr>
      <w:r>
        <w:rPr>
          <w:caps w:val="false"/>
          <w:smallCaps w:val="false"/>
        </w:rPr>
        <w:t> </w:t>
      </w:r>
    </w:p>
    <w:tbl>
      <w:tblPr>
        <w:tblW w:w="8050" w:type="dxa"/>
        <w:jc w:val="left"/>
        <w:tblInd w:w="0" w:type="dxa"/>
        <w:tblLayout w:type="fixed"/>
        <w:tblCellMar>
          <w:top w:w="0" w:type="dxa"/>
          <w:left w:w="0" w:type="dxa"/>
          <w:bottom w:w="0" w:type="dxa"/>
          <w:right w:w="0" w:type="dxa"/>
        </w:tblCellMar>
      </w:tblPr>
      <w:tblGrid>
        <w:gridCol w:w="2945"/>
        <w:gridCol w:w="60"/>
        <w:gridCol w:w="125"/>
        <w:gridCol w:w="845"/>
        <w:gridCol w:w="60"/>
        <w:gridCol w:w="60"/>
        <w:gridCol w:w="126"/>
        <w:gridCol w:w="599"/>
        <w:gridCol w:w="60"/>
        <w:gridCol w:w="60"/>
        <w:gridCol w:w="189"/>
        <w:gridCol w:w="896"/>
        <w:gridCol w:w="60"/>
        <w:gridCol w:w="60"/>
        <w:gridCol w:w="245"/>
        <w:gridCol w:w="510"/>
        <w:gridCol w:w="60"/>
        <w:gridCol w:w="60"/>
        <w:gridCol w:w="125"/>
        <w:gridCol w:w="845"/>
        <w:gridCol w:w="60"/>
      </w:tblGrid>
      <w:tr>
        <w:trPr/>
        <w:tc>
          <w:tcPr>
            <w:tcW w:w="2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Special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9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Pass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Mention</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Substandard</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Doubtful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60" w:type="dxa"/>
            <w:gridSpan w:val="17"/>
            <w:tcBorders/>
            <w:shd w:fill="FFFFFF" w:val="clear"/>
            <w:vAlign w:val="center"/>
          </w:tcPr>
          <w:p>
            <w:pPr>
              <w:pStyle w:val="TableContents"/>
              <w:bidi w:val="0"/>
              <w:spacing w:before="0" w:after="0"/>
              <w:jc w:val="center"/>
              <w:rPr>
                <w:rFonts w:ascii="Times New Roman;Times;serif" w:hAnsi="Times New Roman;Times;serif"/>
                <w:b/>
                <w:i/>
                <w:sz w:val="20"/>
              </w:rPr>
            </w:pPr>
            <w:r>
              <w:rPr>
                <w:rFonts w:ascii="Times New Roman;Times;serif" w:hAnsi="Times New Roman;Times;serif"/>
                <w:b/>
                <w:i/>
                <w:sz w:val="20"/>
              </w:rPr>
              <w:t>(dollars in thousands)</w:t>
            </w:r>
          </w:p>
        </w:tc>
        <w:tc>
          <w:tcPr>
            <w:tcW w:w="6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Single-family residential mortgages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1,678,900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1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1,680,635</w:t>
            </w:r>
          </w:p>
        </w:tc>
        <w:tc>
          <w:tcPr>
            <w:tcW w:w="60"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real estate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1,229,396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8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ind w:left="0" w:right="0" w:hanging="0"/>
              <w:jc w:val="left"/>
              <w:rPr/>
            </w:pPr>
            <w:r>
              <w:rPr/>
              <w:t> </w:t>
            </w:r>
          </w:p>
        </w:tc>
        <w:tc>
          <w:tcPr>
            <w:tcW w:w="51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1,277,559</w:t>
            </w:r>
          </w:p>
        </w:tc>
        <w:tc>
          <w:tcPr>
            <w:tcW w:w="6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Construction and land development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138,201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8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5" w:type="dxa"/>
            <w:tcBorders/>
            <w:shd w:fill="CCEEFF" w:val="clear"/>
            <w:vAlign w:val="center"/>
          </w:tcPr>
          <w:p>
            <w:pPr>
              <w:pStyle w:val="TableContents"/>
              <w:bidi w:val="0"/>
              <w:spacing w:before="0" w:after="283"/>
              <w:ind w:left="0" w:right="0" w:hanging="0"/>
              <w:jc w:val="left"/>
              <w:rPr/>
            </w:pPr>
            <w:r>
              <w:rPr/>
              <w:t> </w:t>
            </w:r>
          </w:p>
        </w:tc>
        <w:tc>
          <w:tcPr>
            <w:tcW w:w="51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146,273</w:t>
            </w:r>
          </w:p>
        </w:tc>
        <w:tc>
          <w:tcPr>
            <w:tcW w:w="60"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and industrial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141,074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8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ind w:left="0" w:right="0" w:hanging="0"/>
              <w:jc w:val="left"/>
              <w:rPr/>
            </w:pPr>
            <w:r>
              <w:rPr/>
              <w:t> </w:t>
            </w:r>
          </w:p>
        </w:tc>
        <w:tc>
          <w:tcPr>
            <w:tcW w:w="51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151,961</w:t>
            </w:r>
          </w:p>
        </w:tc>
        <w:tc>
          <w:tcPr>
            <w:tcW w:w="60"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SBA</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8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ind w:left="0" w:right="0" w:hanging="0"/>
              <w:jc w:val="left"/>
              <w:rPr/>
            </w:pPr>
            <w:r>
              <w:rPr/>
              <w:t> </w:t>
            </w:r>
          </w:p>
        </w:tc>
        <w:tc>
          <w:tcPr>
            <w:tcW w:w="51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49,667</w:t>
            </w:r>
          </w:p>
        </w:tc>
        <w:tc>
          <w:tcPr>
            <w:tcW w:w="6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3,227,655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20,275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61,529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3,309,459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firstLine="540"/>
        <w:jc w:val="both"/>
        <w:rPr>
          <w:caps w:val="false"/>
          <w:smallCaps w:val="false"/>
        </w:rPr>
      </w:pPr>
      <w:r>
        <w:rPr>
          <w:caps w:val="false"/>
          <w:smallCaps w:val="false"/>
        </w:rPr>
        <w:t> </w:t>
      </w:r>
    </w:p>
    <w:tbl>
      <w:tblPr>
        <w:tblW w:w="8230" w:type="dxa"/>
        <w:jc w:val="left"/>
        <w:tblInd w:w="0" w:type="dxa"/>
        <w:tblLayout w:type="fixed"/>
        <w:tblCellMar>
          <w:top w:w="0" w:type="dxa"/>
          <w:left w:w="0" w:type="dxa"/>
          <w:bottom w:w="0" w:type="dxa"/>
          <w:right w:w="0" w:type="dxa"/>
        </w:tblCellMar>
      </w:tblPr>
      <w:tblGrid>
        <w:gridCol w:w="3125"/>
        <w:gridCol w:w="60"/>
        <w:gridCol w:w="125"/>
        <w:gridCol w:w="845"/>
        <w:gridCol w:w="60"/>
        <w:gridCol w:w="60"/>
        <w:gridCol w:w="126"/>
        <w:gridCol w:w="599"/>
        <w:gridCol w:w="60"/>
        <w:gridCol w:w="60"/>
        <w:gridCol w:w="189"/>
        <w:gridCol w:w="896"/>
        <w:gridCol w:w="60"/>
        <w:gridCol w:w="60"/>
        <w:gridCol w:w="245"/>
        <w:gridCol w:w="510"/>
        <w:gridCol w:w="60"/>
        <w:gridCol w:w="60"/>
        <w:gridCol w:w="125"/>
        <w:gridCol w:w="845"/>
        <w:gridCol w:w="60"/>
      </w:tblGrid>
      <w:tr>
        <w:trPr/>
        <w:tc>
          <w:tcPr>
            <w:tcW w:w="3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Special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2025</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Pass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Mention</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Substandard</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Doubtful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Real Estate:</w:t>
            </w:r>
          </w:p>
        </w:tc>
        <w:tc>
          <w:tcPr>
            <w:tcW w:w="60" w:type="dxa"/>
            <w:tcBorders/>
            <w:shd w:fill="CCEEFF" w:val="clear"/>
            <w:vAlign w:val="center"/>
          </w:tcPr>
          <w:p>
            <w:pPr>
              <w:pStyle w:val="TableContents"/>
              <w:bidi w:val="0"/>
              <w:spacing w:before="0" w:after="283"/>
              <w:ind w:left="0" w:right="0" w:hanging="0"/>
              <w:jc w:val="left"/>
              <w:rPr/>
            </w:pPr>
            <w:r>
              <w:rPr/>
              <w:t> </w:t>
            </w:r>
          </w:p>
        </w:tc>
        <w:tc>
          <w:tcPr>
            <w:tcW w:w="4985" w:type="dxa"/>
            <w:gridSpan w:val="18"/>
            <w:tcBorders/>
            <w:shd w:fill="CCEEFF" w:val="clear"/>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(dollars in thousands)</w:t>
            </w:r>
          </w:p>
        </w:tc>
        <w:tc>
          <w:tcPr>
            <w:tcW w:w="6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Single-family residential mortgages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1,652,759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1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1,655,382</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real estate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1,265,041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8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ind w:left="0" w:right="0" w:hanging="0"/>
              <w:jc w:val="left"/>
              <w:rPr/>
            </w:pPr>
            <w:r>
              <w:rPr/>
              <w:t> </w:t>
            </w:r>
          </w:p>
        </w:tc>
        <w:tc>
          <w:tcPr>
            <w:tcW w:w="51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1,303,019</w:t>
            </w:r>
          </w:p>
        </w:tc>
        <w:tc>
          <w:tcPr>
            <w:tcW w:w="6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Construction and land development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124,083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8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5" w:type="dxa"/>
            <w:tcBorders/>
            <w:shd w:fill="FFFFFF" w:val="clear"/>
            <w:vAlign w:val="center"/>
          </w:tcPr>
          <w:p>
            <w:pPr>
              <w:pStyle w:val="TableContents"/>
              <w:bidi w:val="0"/>
              <w:spacing w:before="0" w:after="283"/>
              <w:ind w:left="0" w:right="0" w:hanging="0"/>
              <w:jc w:val="left"/>
              <w:rPr/>
            </w:pPr>
            <w:r>
              <w:rPr/>
              <w:t> </w:t>
            </w:r>
          </w:p>
        </w:tc>
        <w:tc>
          <w:tcPr>
            <w:tcW w:w="51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155,464</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and industrial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123,747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8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ind w:left="0" w:right="0" w:hanging="0"/>
              <w:jc w:val="left"/>
              <w:rPr/>
            </w:pPr>
            <w:r>
              <w:rPr/>
              <w:t> </w:t>
            </w:r>
          </w:p>
        </w:tc>
        <w:tc>
          <w:tcPr>
            <w:tcW w:w="51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140,061</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SBA</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49,862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8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ind w:left="0" w:right="0" w:hanging="0"/>
              <w:jc w:val="left"/>
              <w:rPr/>
            </w:pPr>
            <w:r>
              <w:rPr/>
              <w:t> </w:t>
            </w:r>
          </w:p>
        </w:tc>
        <w:tc>
          <w:tcPr>
            <w:tcW w:w="51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55,978</w:t>
            </w:r>
          </w:p>
        </w:tc>
        <w:tc>
          <w:tcPr>
            <w:tcW w:w="6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3,219,889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19,237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75,175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3,314,301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Special mention loans totaled $20.3 million, or 0.61% of total loans, at June 30, 2026, up from $19.2 million, or 0.58% of total loans, at December 31, 2025. The $1.0 million increase was primarily due to additions to special mention of $7.3 million, partially offset by payoffs/paydowns of $4.0 million and downgrades to substandard rated loans of $1.8 million. As of June 30, 2026, all special mention loans are paying current.</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Substandard loans totaled $61.5 million at June 30, 2026, a decrease of $13.7 million from $75.2 million at December 31, 2025. The $13.7 million decrease in substandard loans was primarily due to transfers to OREO of $19.4 million, payoffs/paydowns totaling $7.2 million, and upgrades to pass rated loans of $1.1 million, partially offset by additions to substandard of $14.1 million. Of the total substandard loans at June 30, 2026, there were $37.8 million, or 61% of such loans, on accrual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i/>
          <w:caps w:val="false"/>
          <w:smallCaps w:val="false"/>
          <w:sz w:val="20"/>
        </w:rPr>
        <w:t xml:space="preserve">Liabilities. </w:t>
      </w:r>
      <w:r>
        <w:rPr>
          <w:rFonts w:ascii="Times New Roman" w:hAnsi="Times New Roman"/>
          <w:caps w:val="false"/>
          <w:smallCaps w:val="false"/>
          <w:sz w:val="20"/>
        </w:rPr>
        <w:t>Total liabilities increased by $54.9 million to $3.7 billion at June 30, 2026 from $3.7 billion at December 31, 2025, primarily due to a $40.2 million increase in deposits and a $30.0 million increase in FHLB advances, offset by a $14.5 million decrease in other liabilities.</w:t>
      </w:r>
    </w:p>
    <w:p>
      <w:pPr>
        <w:pStyle w:val="TextBody"/>
        <w:bidi w:val="0"/>
        <w:spacing w:before="0" w:after="283"/>
        <w:jc w:val="left"/>
        <w:rPr/>
      </w:pPr>
      <w:r>
        <w:rPr/>
        <w:t xml:space="preserve">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i/>
          <w:caps w:val="false"/>
          <w:smallCaps w:val="false"/>
          <w:sz w:val="20"/>
        </w:rPr>
        <w:t>Deposits. </w:t>
      </w:r>
      <w:r>
        <w:rPr>
          <w:rFonts w:ascii="Times New Roman" w:hAnsi="Times New Roman"/>
          <w:caps w:val="false"/>
          <w:smallCaps w:val="false"/>
          <w:sz w:val="20"/>
        </w:rPr>
        <w:t>Total deposits were $3.4 billion as of June 30, 2026, an increase of $40.2 million, or 2.4% annualized, compared to $3.4 billion as of December 31, 2025. The increase was due to a $65.0 million increase in noninterest-bearing deposits offset partially by a $24.8 million decrease in interest-bearing deposits. The decrease in interest-bearing deposits included a decrease in time deposits of $259.7 million and an increase in non-maturity deposits of $234.9 million. Noninterest-bearing deposits totaled $591.6 million and represented 17.5% of total deposits at June 30, 2026 compared to $526.5 million and 15.7% at December 31, 2025.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following table presents the composition of our deposit portfolio by account type as of the dates indicated:</w:t>
      </w:r>
    </w:p>
    <w:p>
      <w:pPr>
        <w:pStyle w:val="TextBody"/>
        <w:bidi w:val="0"/>
        <w:spacing w:before="0" w:after="0"/>
        <w:ind w:left="0" w:right="0" w:firstLine="540"/>
        <w:jc w:val="both"/>
        <w:rPr>
          <w:caps w:val="false"/>
          <w:smallCaps w:val="false"/>
        </w:rPr>
      </w:pPr>
      <w:r>
        <w:rPr>
          <w:caps w:val="false"/>
          <w:smallCaps w:val="false"/>
        </w:rPr>
        <w:t> </w:t>
      </w:r>
    </w:p>
    <w:tbl>
      <w:tblPr>
        <w:tblW w:w="6813" w:type="dxa"/>
        <w:jc w:val="left"/>
        <w:tblInd w:w="0" w:type="dxa"/>
        <w:tblLayout w:type="fixed"/>
        <w:tblCellMar>
          <w:top w:w="0" w:type="dxa"/>
          <w:left w:w="0" w:type="dxa"/>
          <w:bottom w:w="0" w:type="dxa"/>
          <w:right w:w="0" w:type="dxa"/>
        </w:tblCellMar>
      </w:tblPr>
      <w:tblGrid>
        <w:gridCol w:w="3050"/>
        <w:gridCol w:w="60"/>
        <w:gridCol w:w="125"/>
        <w:gridCol w:w="845"/>
        <w:gridCol w:w="60"/>
        <w:gridCol w:w="60"/>
        <w:gridCol w:w="60"/>
        <w:gridCol w:w="485"/>
        <w:gridCol w:w="185"/>
        <w:gridCol w:w="60"/>
        <w:gridCol w:w="125"/>
        <w:gridCol w:w="847"/>
        <w:gridCol w:w="60"/>
        <w:gridCol w:w="60"/>
        <w:gridCol w:w="60"/>
        <w:gridCol w:w="486"/>
        <w:gridCol w:w="185"/>
      </w:tblGrid>
      <w:tr>
        <w:trPr/>
        <w:tc>
          <w:tcPr>
            <w:tcW w:w="30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6" w:type="dxa"/>
            <w:gridSpan w:val="2"/>
            <w:tcBorders>
              <w:bottom w:val="single" w:sz="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18"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(dollars in thousands)</w:t>
            </w:r>
          </w:p>
        </w:tc>
        <w:tc>
          <w:tcPr>
            <w:tcW w:w="185" w:type="dxa"/>
            <w:tcBorders/>
            <w:shd w:fill="FFFFFF" w:val="cle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Noninterest-bearing demand deposits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591,556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526,538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Interest-bearing deposits: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NOW</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81,382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72,063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Money market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562,145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526,933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Savings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547,671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357,303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Time deposits $250,000 and under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736,102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790,225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Time deposits over $250,000</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751,600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851,637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Wholesale deposits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120,185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225,699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interest-bearing deposits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2,799,085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82.5</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2,823,860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84.3</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5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deposits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3,390,641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3,350,398</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following table presents our average deposit balances and weighted average rates for the three months and six months ended June 30, 2026:</w:t>
      </w:r>
    </w:p>
    <w:p>
      <w:pPr>
        <w:pStyle w:val="TextBody"/>
        <w:bidi w:val="0"/>
        <w:spacing w:before="0" w:after="0"/>
        <w:ind w:left="0" w:right="0" w:firstLine="540"/>
        <w:jc w:val="both"/>
        <w:rPr>
          <w:caps w:val="false"/>
          <w:smallCaps w:val="false"/>
        </w:rPr>
      </w:pPr>
      <w:r>
        <w:rPr>
          <w:caps w:val="false"/>
          <w:smallCaps w:val="false"/>
        </w:rPr>
        <w:t> </w:t>
      </w:r>
    </w:p>
    <w:tbl>
      <w:tblPr>
        <w:tblW w:w="8517" w:type="dxa"/>
        <w:jc w:val="left"/>
        <w:tblInd w:w="0" w:type="dxa"/>
        <w:tblLayout w:type="fixed"/>
        <w:tblCellMar>
          <w:top w:w="0" w:type="dxa"/>
          <w:left w:w="0" w:type="dxa"/>
          <w:bottom w:w="0" w:type="dxa"/>
          <w:right w:w="0" w:type="dxa"/>
        </w:tblCellMar>
      </w:tblPr>
      <w:tblGrid>
        <w:gridCol w:w="3050"/>
        <w:gridCol w:w="60"/>
        <w:gridCol w:w="200"/>
        <w:gridCol w:w="1353"/>
        <w:gridCol w:w="96"/>
        <w:gridCol w:w="96"/>
        <w:gridCol w:w="113"/>
        <w:gridCol w:w="717"/>
        <w:gridCol w:w="185"/>
        <w:gridCol w:w="60"/>
        <w:gridCol w:w="180"/>
        <w:gridCol w:w="1220"/>
        <w:gridCol w:w="86"/>
        <w:gridCol w:w="86"/>
        <w:gridCol w:w="113"/>
        <w:gridCol w:w="717"/>
        <w:gridCol w:w="185"/>
      </w:tblGrid>
      <w:tr>
        <w:trPr/>
        <w:tc>
          <w:tcPr>
            <w:tcW w:w="30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7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Three Months Ended</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0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Six Months Ended</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7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0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353" w:type="dxa"/>
            <w:tcBorders/>
            <w:shd w:fill="FFFFFF" w:val="clear"/>
            <w:vAlign w:val="center"/>
          </w:tcPr>
          <w:p>
            <w:pPr>
              <w:pStyle w:val="TableContents"/>
              <w:bidi w:val="0"/>
              <w:spacing w:before="0" w:after="283"/>
              <w:jc w:val="center"/>
              <w:rPr/>
            </w:pPr>
            <w:r>
              <w:rPr/>
              <w:t> </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center"/>
              <w:rPr/>
            </w:pPr>
            <w:r>
              <w:rPr/>
              <w:t> </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w:t>
            </w:r>
          </w:p>
        </w:tc>
        <w:tc>
          <w:tcPr>
            <w:tcW w:w="185" w:type="dxa"/>
            <w:tcBorders/>
            <w:shd w:fill="FFFFFF"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3"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p>
        </w:tc>
        <w:tc>
          <w:tcPr>
            <w:tcW w:w="185" w:type="dxa"/>
            <w:tcBorders/>
            <w:shd w:fill="FFFFFF"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w:t>
            </w:r>
          </w:p>
        </w:tc>
        <w:tc>
          <w:tcPr>
            <w:tcW w:w="9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Rate (%)</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w:t>
            </w:r>
          </w:p>
        </w:tc>
        <w:tc>
          <w:tcPr>
            <w:tcW w:w="8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Rate (%)</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22"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(dollars in thousands)</w:t>
            </w:r>
          </w:p>
        </w:tc>
        <w:tc>
          <w:tcPr>
            <w:tcW w:w="185" w:type="dxa"/>
            <w:tcBorders/>
            <w:shd w:fill="FFFFFF" w:val="cle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Noninterest-bearing demand deposits</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535,756</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c>
          <w:tcPr>
            <w:tcW w:w="717" w:type="dxa"/>
            <w:tcBorders/>
            <w:shd w:fill="CCEEFF" w:val="cle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530,980</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c>
          <w:tcPr>
            <w:tcW w:w="717" w:type="dxa"/>
            <w:tcBorders/>
            <w:shd w:fill="CCEEFF" w:val="cle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Interest-bearing deposits:</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353"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NOW</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13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83,681</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c>
          <w:tcPr>
            <w:tcW w:w="7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12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78,687</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c>
          <w:tcPr>
            <w:tcW w:w="7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Money market</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13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556,084</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ind w:left="0" w:right="0" w:hanging="0"/>
              <w:jc w:val="left"/>
              <w:rPr/>
            </w:pPr>
            <w:r>
              <w:rPr/>
              <w:t> </w:t>
            </w:r>
          </w:p>
        </w:tc>
        <w:tc>
          <w:tcPr>
            <w:tcW w:w="7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12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542,623</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ind w:left="0" w:right="0" w:hanging="0"/>
              <w:jc w:val="left"/>
              <w:rPr/>
            </w:pPr>
            <w:r>
              <w:rPr/>
              <w:t> </w:t>
            </w:r>
          </w:p>
        </w:tc>
        <w:tc>
          <w:tcPr>
            <w:tcW w:w="7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Savings</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13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589,187</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c>
          <w:tcPr>
            <w:tcW w:w="7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12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515,564</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c>
          <w:tcPr>
            <w:tcW w:w="7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Time deposits $250,000 and under</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13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837,026</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ind w:left="0" w:right="0" w:hanging="0"/>
              <w:jc w:val="left"/>
              <w:rPr/>
            </w:pPr>
            <w:r>
              <w:rPr/>
              <w:t> </w:t>
            </w:r>
          </w:p>
        </w:tc>
        <w:tc>
          <w:tcPr>
            <w:tcW w:w="7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12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881,380</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ind w:left="0" w:right="0" w:hanging="0"/>
              <w:jc w:val="left"/>
              <w:rPr/>
            </w:pPr>
            <w:r>
              <w:rPr/>
              <w:t> </w:t>
            </w:r>
          </w:p>
        </w:tc>
        <w:tc>
          <w:tcPr>
            <w:tcW w:w="7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Time deposits over $250,000</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768,027</w:t>
            </w:r>
          </w:p>
        </w:tc>
        <w:tc>
          <w:tcPr>
            <w:tcW w:w="9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3.70</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806,692</w:t>
            </w:r>
          </w:p>
        </w:tc>
        <w:tc>
          <w:tcPr>
            <w:tcW w:w="8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interest-bearing deposits</w:t>
            </w:r>
          </w:p>
        </w:tc>
        <w:tc>
          <w:tcPr>
            <w:tcW w:w="60" w:type="dxa"/>
            <w:tcBorders/>
            <w:shd w:fill="FFFFFF" w:val="clear"/>
            <w:vAlign w:val="center"/>
          </w:tcPr>
          <w:p>
            <w:pPr>
              <w:pStyle w:val="TableContents"/>
              <w:bidi w:val="0"/>
              <w:spacing w:before="0" w:after="283"/>
              <w:jc w:val="left"/>
              <w:rPr/>
            </w:pPr>
            <w:r>
              <w:rPr/>
              <w:t> </w:t>
            </w:r>
          </w:p>
        </w:tc>
        <w:tc>
          <w:tcPr>
            <w:tcW w:w="20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2,834,005</w:t>
            </w:r>
          </w:p>
        </w:tc>
        <w:tc>
          <w:tcPr>
            <w:tcW w:w="9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1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2,824,946</w:t>
            </w:r>
          </w:p>
        </w:tc>
        <w:tc>
          <w:tcPr>
            <w:tcW w:w="8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1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5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deposits</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3,369,761</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1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3,355,926</w:t>
            </w:r>
          </w:p>
        </w:tc>
        <w:tc>
          <w:tcPr>
            <w:tcW w:w="8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following table presents the maturity schedule of time deposits as of June 30, 2026:</w:t>
      </w:r>
    </w:p>
    <w:p>
      <w:pPr>
        <w:pStyle w:val="TextBody"/>
        <w:bidi w:val="0"/>
        <w:spacing w:before="0" w:after="0"/>
        <w:ind w:left="0" w:right="0" w:firstLine="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5"/>
        <w:gridCol w:w="60"/>
        <w:gridCol w:w="238"/>
        <w:gridCol w:w="1329"/>
        <w:gridCol w:w="60"/>
        <w:gridCol w:w="60"/>
        <w:gridCol w:w="276"/>
        <w:gridCol w:w="1539"/>
        <w:gridCol w:w="60"/>
        <w:gridCol w:w="60"/>
        <w:gridCol w:w="243"/>
        <w:gridCol w:w="1356"/>
        <w:gridCol w:w="60"/>
        <w:gridCol w:w="60"/>
        <w:gridCol w:w="208"/>
        <w:gridCol w:w="985"/>
        <w:gridCol w:w="60"/>
        <w:gridCol w:w="60"/>
        <w:gridCol w:w="125"/>
        <w:gridCol w:w="845"/>
        <w:gridCol w:w="66"/>
      </w:tblGrid>
      <w:tr>
        <w:trPr/>
        <w:tc>
          <w:tcPr>
            <w:tcW w:w="2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624"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Maturity Within:</w:t>
            </w:r>
          </w:p>
        </w:tc>
        <w:tc>
          <w:tcPr>
            <w:tcW w:w="6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or Less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After Three to Six Months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After Six to 12 Months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9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After 12 Months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624" w:type="dxa"/>
            <w:gridSpan w:val="18"/>
            <w:tcBorders/>
            <w:shd w:fill="FFFFFF" w:val="clear"/>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(dollars in thousands)</w:t>
            </w:r>
          </w:p>
        </w:tc>
        <w:tc>
          <w:tcPr>
            <w:tcW w:w="66" w:type="dxa"/>
            <w:tcBorders/>
            <w:shd w:fill="FFFFFF" w:val="clear"/>
            <w:vAlign w:val="center"/>
          </w:tcPr>
          <w:p>
            <w:pPr>
              <w:pStyle w:val="TableContents"/>
              <w:bidi w:val="0"/>
              <w:spacing w:before="0" w:after="283"/>
              <w:jc w:val="left"/>
              <w:rPr/>
            </w:pPr>
            <w:r>
              <w:rPr/>
              <w:t> </w:t>
            </w:r>
          </w:p>
        </w:tc>
      </w:tr>
      <w:tr>
        <w:trPr/>
        <w:tc>
          <w:tcPr>
            <w:tcW w:w="245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Time deposits $250,000 and under (1)</w:t>
            </w:r>
          </w:p>
        </w:tc>
        <w:tc>
          <w:tcPr>
            <w:tcW w:w="60" w:type="dxa"/>
            <w:tcBorders/>
            <w:shd w:fill="CCEEFF" w:val="clear"/>
            <w:vAlign w:val="center"/>
          </w:tcPr>
          <w:p>
            <w:pPr>
              <w:pStyle w:val="TableContents"/>
              <w:bidi w:val="0"/>
              <w:spacing w:before="0" w:after="283"/>
              <w:ind w:left="0" w:right="0" w:hanging="0"/>
              <w:jc w:val="left"/>
              <w:rPr/>
            </w:pPr>
            <w:r>
              <w:rPr/>
              <w:t> </w:t>
            </w:r>
          </w:p>
        </w:tc>
        <w:tc>
          <w:tcPr>
            <w:tcW w:w="23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326,055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300,604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183,018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815,528</w:t>
            </w:r>
          </w:p>
        </w:tc>
        <w:tc>
          <w:tcPr>
            <w:tcW w:w="66" w:type="dxa"/>
            <w:tcBorders/>
            <w:shd w:fill="CCEEFF" w:val="clear"/>
            <w:vAlign w:val="center"/>
          </w:tcPr>
          <w:p>
            <w:pPr>
              <w:pStyle w:val="TableContents"/>
              <w:bidi w:val="0"/>
              <w:spacing w:before="0" w:after="283"/>
              <w:jc w:val="left"/>
              <w:rPr/>
            </w:pPr>
            <w:r>
              <w:rPr/>
              <w:t> </w:t>
            </w:r>
          </w:p>
        </w:tc>
      </w:tr>
      <w:tr>
        <w:trPr/>
        <w:tc>
          <w:tcPr>
            <w:tcW w:w="245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Time deposits over $250,000 (2)</w:t>
            </w:r>
          </w:p>
        </w:tc>
        <w:tc>
          <w:tcPr>
            <w:tcW w:w="60" w:type="dxa"/>
            <w:tcBorders/>
            <w:shd w:fill="FFFFFF" w:val="clear"/>
            <w:vAlign w:val="center"/>
          </w:tcPr>
          <w:p>
            <w:pPr>
              <w:pStyle w:val="TableContents"/>
              <w:bidi w:val="0"/>
              <w:spacing w:before="0" w:after="283"/>
              <w:jc w:val="left"/>
              <w:rPr/>
            </w:pPr>
            <w:r>
              <w:rPr/>
              <w:t> </w:t>
            </w:r>
          </w:p>
        </w:tc>
        <w:tc>
          <w:tcPr>
            <w:tcW w:w="2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266,292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393,421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127,158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5,488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792,359</w:t>
            </w:r>
          </w:p>
        </w:tc>
        <w:tc>
          <w:tcPr>
            <w:tcW w:w="6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time deposits</w:t>
            </w:r>
          </w:p>
        </w:tc>
        <w:tc>
          <w:tcPr>
            <w:tcW w:w="60" w:type="dxa"/>
            <w:tcBorders/>
            <w:shd w:fill="CCEEFF" w:val="clear"/>
            <w:vAlign w:val="center"/>
          </w:tcPr>
          <w:p>
            <w:pPr>
              <w:pStyle w:val="TableContents"/>
              <w:bidi w:val="0"/>
              <w:spacing w:before="0" w:after="283"/>
              <w:ind w:left="0" w:right="0" w:hanging="0"/>
              <w:jc w:val="left"/>
              <w:rPr/>
            </w:pPr>
            <w:r>
              <w:rPr/>
              <w:t> </w:t>
            </w:r>
          </w:p>
        </w:tc>
        <w:tc>
          <w:tcPr>
            <w:tcW w:w="2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592,347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694,025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310,176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11,339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1,607,887</w:t>
            </w:r>
          </w:p>
        </w:tc>
        <w:tc>
          <w:tcPr>
            <w:tcW w:w="6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tbl>
      <w:tblPr>
        <w:tblW w:w="3445" w:type="dxa"/>
        <w:jc w:val="left"/>
        <w:tblInd w:w="0" w:type="dxa"/>
        <w:tblLayout w:type="fixed"/>
        <w:tblCellMar>
          <w:top w:w="0" w:type="dxa"/>
          <w:left w:w="0" w:type="dxa"/>
          <w:bottom w:w="0" w:type="dxa"/>
          <w:right w:w="0" w:type="dxa"/>
        </w:tblCellMar>
      </w:tblPr>
      <w:tblGrid>
        <w:gridCol w:w="60"/>
        <w:gridCol w:w="230"/>
        <w:gridCol w:w="315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both"/>
              <w:rPr>
                <w:rFonts w:ascii="Times New Roman" w:hAnsi="Times New Roman"/>
                <w:b w:val="false"/>
                <w:sz w:val="16"/>
              </w:rPr>
            </w:pPr>
            <w:r>
              <w:rPr>
                <w:rFonts w:ascii="Times New Roman" w:hAnsi="Times New Roman"/>
                <w:b w:val="false"/>
                <w:sz w:val="16"/>
              </w:rPr>
              <w:t>(1)</w:t>
            </w:r>
          </w:p>
        </w:tc>
        <w:tc>
          <w:tcPr>
            <w:tcW w:w="3155" w:type="dxa"/>
            <w:tcBorders/>
            <w:vAlign w:val="center"/>
          </w:tcPr>
          <w:p>
            <w:pPr>
              <w:pStyle w:val="TableContents"/>
              <w:bidi w:val="0"/>
              <w:spacing w:before="0" w:after="0"/>
              <w:ind w:left="0" w:right="0" w:hanging="0"/>
              <w:jc w:val="both"/>
              <w:rPr>
                <w:rFonts w:ascii="Times New Roman" w:hAnsi="Times New Roman"/>
                <w:b w:val="false"/>
                <w:sz w:val="16"/>
              </w:rPr>
            </w:pPr>
            <w:r>
              <w:rPr>
                <w:rFonts w:ascii="Times New Roman" w:hAnsi="Times New Roman"/>
                <w:b w:val="false"/>
                <w:sz w:val="16"/>
              </w:rPr>
              <w:t>Includes wholesale deposits of $79.4 million.</w:t>
            </w:r>
          </w:p>
        </w:tc>
      </w:tr>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both"/>
              <w:rPr>
                <w:rFonts w:ascii="Times New Roman" w:hAnsi="Times New Roman"/>
                <w:b w:val="false"/>
                <w:sz w:val="16"/>
              </w:rPr>
            </w:pPr>
            <w:r>
              <w:rPr>
                <w:rFonts w:ascii="Times New Roman" w:hAnsi="Times New Roman"/>
                <w:b w:val="false"/>
                <w:sz w:val="16"/>
              </w:rPr>
              <w:t>(2)</w:t>
            </w:r>
          </w:p>
        </w:tc>
        <w:tc>
          <w:tcPr>
            <w:tcW w:w="3155" w:type="dxa"/>
            <w:tcBorders/>
            <w:vAlign w:val="center"/>
          </w:tcPr>
          <w:p>
            <w:pPr>
              <w:pStyle w:val="TableContents"/>
              <w:bidi w:val="0"/>
              <w:spacing w:before="0" w:after="283"/>
              <w:jc w:val="left"/>
              <w:rPr>
                <w:sz w:val="16"/>
              </w:rPr>
            </w:pPr>
            <w:r>
              <w:rPr>
                <w:sz w:val="16"/>
              </w:rPr>
              <w:t>Includes wholesale deposits of $40.8 million.</w:t>
            </w:r>
          </w:p>
        </w:tc>
      </w:tr>
    </w:tbl>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Of the $792.4 million in time deposits over $250,000, the estimated aggregate amount of time deposits in excess of the FDIC insurance limit is $543.3 million at June 30, 2026. The following table presents the maturity distribution of uninsured time deposits in amounts of more than $250,000 as of the date indicated.</w:t>
      </w:r>
    </w:p>
    <w:p>
      <w:pPr>
        <w:pStyle w:val="TextBody"/>
        <w:bidi w:val="0"/>
        <w:spacing w:before="0" w:after="0"/>
        <w:ind w:left="0" w:right="0" w:firstLine="540"/>
        <w:jc w:val="both"/>
        <w:rPr>
          <w:caps w:val="false"/>
          <w:smallCaps w:val="false"/>
        </w:rPr>
      </w:pPr>
      <w:r>
        <w:rPr>
          <w:caps w:val="false"/>
          <w:smallCaps w:val="false"/>
        </w:rPr>
        <w:t> </w:t>
      </w:r>
    </w:p>
    <w:tbl>
      <w:tblPr>
        <w:tblW w:w="4734" w:type="dxa"/>
        <w:jc w:val="left"/>
        <w:tblInd w:w="0" w:type="dxa"/>
        <w:tblLayout w:type="fixed"/>
        <w:tblCellMar>
          <w:top w:w="0" w:type="dxa"/>
          <w:left w:w="0" w:type="dxa"/>
          <w:bottom w:w="0" w:type="dxa"/>
          <w:right w:w="0" w:type="dxa"/>
        </w:tblCellMar>
      </w:tblPr>
      <w:tblGrid>
        <w:gridCol w:w="2795"/>
        <w:gridCol w:w="60"/>
        <w:gridCol w:w="277"/>
        <w:gridCol w:w="1542"/>
        <w:gridCol w:w="60"/>
      </w:tblGrid>
      <w:tr>
        <w:trPr/>
        <w:tc>
          <w:tcPr>
            <w:tcW w:w="279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2026</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r>
      <w:tr>
        <w:trPr/>
        <w:tc>
          <w:tcPr>
            <w:tcW w:w="27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(dollars in thousands)</w:t>
            </w:r>
          </w:p>
        </w:tc>
        <w:tc>
          <w:tcPr>
            <w:tcW w:w="60"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 months or less</w:t>
            </w:r>
          </w:p>
        </w:tc>
        <w:tc>
          <w:tcPr>
            <w:tcW w:w="60" w:type="dxa"/>
            <w:tcBorders/>
            <w:shd w:fill="CCEEFF" w:val="clear"/>
            <w:vAlign w:val="center"/>
          </w:tcPr>
          <w:p>
            <w:pPr>
              <w:pStyle w:val="TableContents"/>
              <w:bidi w:val="0"/>
              <w:spacing w:before="0" w:after="283"/>
              <w:ind w:left="0" w:right="0" w:hanging="0"/>
              <w:jc w:val="left"/>
              <w:rPr/>
            </w:pPr>
            <w:r>
              <w:rPr/>
              <w:t> </w:t>
            </w:r>
          </w:p>
        </w:tc>
        <w:tc>
          <w:tcPr>
            <w:tcW w:w="27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161,971</w:t>
            </w:r>
          </w:p>
        </w:tc>
        <w:tc>
          <w:tcPr>
            <w:tcW w:w="60"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Over 3 months through 6 months</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ind w:left="0" w:right="0" w:hanging="0"/>
              <w:jc w:val="left"/>
              <w:rPr/>
            </w:pPr>
            <w:r>
              <w:rPr/>
              <w:t> </w:t>
            </w:r>
          </w:p>
        </w:tc>
        <w:tc>
          <w:tcPr>
            <w:tcW w:w="15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285,661</w:t>
            </w:r>
          </w:p>
        </w:tc>
        <w:tc>
          <w:tcPr>
            <w:tcW w:w="60"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Over 6 months through 12 months</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ind w:left="0" w:right="0" w:hanging="0"/>
              <w:jc w:val="left"/>
              <w:rPr/>
            </w:pPr>
            <w:r>
              <w:rPr/>
              <w:t> </w:t>
            </w:r>
          </w:p>
        </w:tc>
        <w:tc>
          <w:tcPr>
            <w:tcW w:w="15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91,447</w:t>
            </w:r>
          </w:p>
        </w:tc>
        <w:tc>
          <w:tcPr>
            <w:tcW w:w="60"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Over 12 months</w:t>
            </w:r>
          </w:p>
        </w:tc>
        <w:tc>
          <w:tcPr>
            <w:tcW w:w="60" w:type="dxa"/>
            <w:tcBorders/>
            <w:shd w:fill="FFFFFF" w:val="clear"/>
            <w:vAlign w:val="center"/>
          </w:tcPr>
          <w:p>
            <w:pPr>
              <w:pStyle w:val="TableContents"/>
              <w:bidi w:val="0"/>
              <w:spacing w:before="0" w:after="283"/>
              <w:jc w:val="left"/>
              <w:rPr/>
            </w:pPr>
            <w:r>
              <w:rPr/>
              <w:t> </w:t>
            </w:r>
          </w:p>
        </w:tc>
        <w:tc>
          <w:tcPr>
            <w:tcW w:w="2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4,238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7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4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543,317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Deposits exceeding the FDIC insurance limits were estimated to be $1.8 billion as of June 30, 2026, and $1.5 billion as of December 31, 2025.</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Time deposits include certain wholesale deposits, such as brokered deposits, collateralized deposits from the State of California, and deposits acquired through internet listing services. We mitigate the risk of using wholesale time deposits by managing the aggregate level of such funding, obtaining wholesale deposits through multiple sources, and leveraging collateralized deposits. Wholesale time deposits totaled $120.2 million at June 30, 2026, and were comprised of brokered deposits of $50.5 million, collateralized deposits from the State of California of $40.0 million, and deposits acquired through internet listing services of $29.7 million at June 30, 2026. This compares to wholesale time deposits of $225.7 million at December 31, 2025, comprised of brokered deposits of $145.5 million, collateralized deposits from the State of California of $40.0 million, and deposits acquired through internet listing services of $40.2 million.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addition, we offer deposit products through the Certificate of Deposit Account Registry Service (“CDARS”) and Insured Cash Sweeps (“ICS”) programs where customers are able to achieve FDIC insurance for balances on deposit in excess of the $250,000 FDIC limit. Time deposits held through the CDARS program were $141.4 million at June 30, 2026 and $128.3 million at December 31, 2025 and ICS deposits totaled $137.4 million at June 30, 2026 and $156.3 million at December 31, 2025.</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i/>
          <w:caps w:val="false"/>
          <w:smallCaps w:val="false"/>
          <w:sz w:val="20"/>
        </w:rPr>
        <w:t xml:space="preserve">FHLB Borrowings. </w:t>
      </w:r>
      <w:r>
        <w:rPr>
          <w:rFonts w:ascii="Times New Roman" w:hAnsi="Times New Roman"/>
          <w:caps w:val="false"/>
          <w:smallCaps w:val="false"/>
          <w:sz w:val="20"/>
        </w:rPr>
        <w:t>In addition to deposits, we have used long- and short-term borrowings, such as federal funds purchased and FHLB long-and short-term advances, as a source of funds to meet the daily liquidity needs of our customers and fund growth in earning assets. FHLB advances totaled $160.0 million at June 30, 2026 compared to $130.0 million at December 31, 2025. FHLB borrowings at June 30, 2026 included $140.0 million in putable term advances.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details of all the FHLB advances outstanding at June 30, 2026 are presented in Next Call Date order in the table below:</w:t>
      </w:r>
    </w:p>
    <w:p>
      <w:pPr>
        <w:pStyle w:val="TextBody"/>
        <w:bidi w:val="0"/>
        <w:spacing w:before="0" w:after="0"/>
        <w:ind w:left="0" w:right="0" w:hanging="0"/>
        <w:jc w:val="both"/>
        <w:rPr>
          <w:caps w:val="false"/>
          <w:smallCaps w:val="false"/>
        </w:rPr>
      </w:pPr>
      <w:r>
        <w:rPr>
          <w:caps w:val="false"/>
          <w:smallCaps w:val="false"/>
        </w:rPr>
        <w:t> </w:t>
      </w:r>
    </w:p>
    <w:tbl>
      <w:tblPr>
        <w:tblW w:w="7960" w:type="dxa"/>
        <w:jc w:val="left"/>
        <w:tblInd w:w="0" w:type="dxa"/>
        <w:tblLayout w:type="fixed"/>
        <w:tblCellMar>
          <w:top w:w="0" w:type="dxa"/>
          <w:left w:w="0" w:type="dxa"/>
          <w:bottom w:w="28" w:type="dxa"/>
          <w:right w:w="0" w:type="dxa"/>
        </w:tblCellMar>
      </w:tblPr>
      <w:tblGrid>
        <w:gridCol w:w="1205"/>
        <w:gridCol w:w="60"/>
        <w:gridCol w:w="125"/>
        <w:gridCol w:w="695"/>
        <w:gridCol w:w="60"/>
        <w:gridCol w:w="60"/>
        <w:gridCol w:w="60"/>
        <w:gridCol w:w="380"/>
        <w:gridCol w:w="185"/>
        <w:gridCol w:w="60"/>
        <w:gridCol w:w="1400"/>
        <w:gridCol w:w="60"/>
        <w:gridCol w:w="1250"/>
        <w:gridCol w:w="60"/>
        <w:gridCol w:w="2300"/>
      </w:tblGrid>
      <w:tr>
        <w:trPr/>
        <w:tc>
          <w:tcPr>
            <w:tcW w:w="1205"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Advance Date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Rate</w:t>
            </w:r>
          </w:p>
        </w:tc>
        <w:tc>
          <w:tcPr>
            <w:tcW w:w="185" w:type="dxa"/>
            <w:tcBorders/>
            <w:shd w:fill="FFFFFF" w:val="clear"/>
            <w:tcMar>
              <w:bottom w:w="0" w:type="dxa"/>
            </w:tcMar>
            <w:vAlign w:val="center"/>
          </w:tcPr>
          <w:p>
            <w:pPr>
              <w:pStyle w:val="TableContents"/>
              <w:bidi w:val="0"/>
              <w:spacing w:before="0" w:after="283"/>
              <w:ind w:left="0" w:right="0" w:hanging="0"/>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140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Call Structure</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125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Next Call Date</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230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Final Stated Maturity Date</w:t>
            </w:r>
          </w:p>
        </w:tc>
      </w:tr>
      <w:tr>
        <w:trPr/>
        <w:tc>
          <w:tcPr>
            <w:tcW w:w="12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695" w:type="dxa"/>
            <w:gridSpan w:val="13"/>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(dollars in thousands)</w:t>
            </w:r>
          </w:p>
        </w:tc>
      </w:tr>
      <w:tr>
        <w:trPr/>
        <w:tc>
          <w:tcPr>
            <w:tcW w:w="120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5/8/2025</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8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w:t>
            </w:r>
          </w:p>
        </w:tc>
        <w:tc>
          <w:tcPr>
            <w:tcW w:w="18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40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N/A</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30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5/10/2028</w:t>
            </w:r>
          </w:p>
        </w:tc>
      </w:tr>
      <w:tr>
        <w:trPr/>
        <w:tc>
          <w:tcPr>
            <w:tcW w:w="120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6/23/2025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3.64</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40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0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6/23/2028</w:t>
            </w:r>
          </w:p>
        </w:tc>
      </w:tr>
      <w:tr>
        <w:trPr/>
        <w:tc>
          <w:tcPr>
            <w:tcW w:w="120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5/8/2025</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8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w:t>
            </w:r>
          </w:p>
        </w:tc>
        <w:tc>
          <w:tcPr>
            <w:tcW w:w="18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400" w:type="dxa"/>
            <w:tcBorders/>
            <w:shd w:fill="CCEEFF" w:val="clear"/>
            <w:tcMar>
              <w:bottom w:w="0" w:type="dxa"/>
            </w:tcM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Quarterly call (1)</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8/10/2026</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30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5/8/2029</w:t>
            </w:r>
          </w:p>
        </w:tc>
      </w:tr>
      <w:tr>
        <w:trPr/>
        <w:tc>
          <w:tcPr>
            <w:tcW w:w="120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6/15/2026</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8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w:t>
            </w:r>
          </w:p>
        </w:tc>
        <w:tc>
          <w:tcPr>
            <w:tcW w:w="18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400" w:type="dxa"/>
            <w:tcBorders/>
            <w:shd w:fill="FFFFFF" w:val="clear"/>
            <w:tcMar>
              <w:bottom w:w="0" w:type="dxa"/>
            </w:tcM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One time call (2)</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9/15/2026</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30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6/15/2029</w:t>
            </w:r>
          </w:p>
        </w:tc>
      </w:tr>
      <w:tr>
        <w:trPr/>
        <w:tc>
          <w:tcPr>
            <w:tcW w:w="120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6/15/2026</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8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w:t>
            </w:r>
          </w:p>
        </w:tc>
        <w:tc>
          <w:tcPr>
            <w:tcW w:w="18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400" w:type="dxa"/>
            <w:tcBorders/>
            <w:shd w:fill="CCEEFF" w:val="clear"/>
            <w:tcMar>
              <w:bottom w:w="0" w:type="dxa"/>
            </w:tcM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One time call (2)</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9/17/2026</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30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6/17/2030</w:t>
            </w:r>
          </w:p>
        </w:tc>
      </w:tr>
      <w:tr>
        <w:trPr/>
        <w:tc>
          <w:tcPr>
            <w:tcW w:w="120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6/15/2026</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8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w:t>
            </w:r>
          </w:p>
        </w:tc>
        <w:tc>
          <w:tcPr>
            <w:tcW w:w="18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400" w:type="dxa"/>
            <w:tcBorders/>
            <w:shd w:fill="FFFFFF" w:val="clear"/>
            <w:tcMar>
              <w:bottom w:w="0" w:type="dxa"/>
            </w:tcM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One time call (3)</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12/15/2026</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30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6/15/2029</w:t>
            </w:r>
          </w:p>
        </w:tc>
      </w:tr>
      <w:tr>
        <w:trPr/>
        <w:tc>
          <w:tcPr>
            <w:tcW w:w="120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6/15/2026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3.84</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lineRule="auto" w:line="288" w:before="0" w:after="0"/>
              <w:ind w:left="0" w:right="0" w:hanging="0"/>
              <w:jc w:val="left"/>
              <w:rPr>
                <w:rFonts w:ascii="Times New Roman;Times;serif" w:hAnsi="Times New Roman;Times;serif"/>
                <w:sz w:val="20"/>
              </w:rPr>
            </w:pPr>
            <w:r>
              <w:rPr>
                <w:rFonts w:ascii="Times New Roman;Times;serif" w:hAnsi="Times New Roman;Times;serif"/>
                <w:sz w:val="20"/>
              </w:rPr>
              <w:t>One time call (3)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12/17/2026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0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6/17/2030</w:t>
            </w:r>
          </w:p>
        </w:tc>
      </w:tr>
      <w:tr>
        <w:trPr/>
        <w:tc>
          <w:tcPr>
            <w:tcW w:w="120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6/15/2026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3.94</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lineRule="auto" w:line="288" w:before="0" w:after="0"/>
              <w:ind w:left="0" w:right="0" w:hanging="0"/>
              <w:jc w:val="left"/>
              <w:rPr>
                <w:rFonts w:ascii="Times New Roman;Times;serif" w:hAnsi="Times New Roman;Times;serif"/>
                <w:sz w:val="20"/>
              </w:rPr>
            </w:pPr>
            <w:r>
              <w:rPr>
                <w:rFonts w:ascii="Times New Roman;Times;serif" w:hAnsi="Times New Roman;Times;serif"/>
                <w:sz w:val="20"/>
              </w:rPr>
              <w:t>One time call (1)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6/15/2027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0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6/15/2029</w:t>
            </w:r>
          </w:p>
        </w:tc>
      </w:tr>
      <w:tr>
        <w:trPr/>
        <w:tc>
          <w:tcPr>
            <w:tcW w:w="120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6/24/2026</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0"/>
              <w:ind w:left="0" w:right="0" w:hanging="0"/>
              <w:jc w:val="left"/>
              <w:rPr/>
            </w:pPr>
            <w:r>
              <w:rPr/>
              <w:t> </w:t>
            </w:r>
          </w:p>
        </w:tc>
        <w:tc>
          <w:tcPr>
            <w:tcW w:w="695" w:type="dxa"/>
            <w:tcBorders/>
            <w:shd w:fill="CCEEFF" w:val="clear"/>
            <w:tcMar>
              <w:bottom w:w="0"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4.01</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lineRule="auto" w:line="288" w:before="0" w:after="0"/>
              <w:ind w:left="0" w:right="0" w:hanging="0"/>
              <w:jc w:val="left"/>
              <w:rPr>
                <w:rFonts w:ascii="Times New Roman;Times;serif" w:hAnsi="Times New Roman;Times;serif"/>
                <w:sz w:val="20"/>
              </w:rPr>
            </w:pPr>
            <w:r>
              <w:rPr>
                <w:rFonts w:ascii="Times New Roman;Times;serif" w:hAnsi="Times New Roman;Times;serif"/>
                <w:sz w:val="20"/>
              </w:rPr>
              <w:t>One time call (1)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6/25/2027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0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6/25/2029</w:t>
            </w:r>
          </w:p>
        </w:tc>
      </w:tr>
      <w:tr>
        <w:trPr/>
        <w:tc>
          <w:tcPr>
            <w:tcW w:w="120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6/24/2026</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3.97</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lineRule="auto" w:line="288" w:before="0" w:after="0"/>
              <w:ind w:left="0" w:right="0" w:hanging="0"/>
              <w:jc w:val="left"/>
              <w:rPr>
                <w:rFonts w:ascii="Times New Roman;Times;serif" w:hAnsi="Times New Roman;Times;serif"/>
                <w:sz w:val="20"/>
              </w:rPr>
            </w:pPr>
            <w:r>
              <w:rPr>
                <w:rFonts w:ascii="Times New Roman;Times;serif" w:hAnsi="Times New Roman;Times;serif"/>
                <w:sz w:val="20"/>
              </w:rPr>
              <w:t>One time call (1)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6/24/2027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0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6/24/2030</w:t>
            </w:r>
          </w:p>
        </w:tc>
      </w:tr>
      <w:tr>
        <w:trPr/>
        <w:tc>
          <w:tcPr>
            <w:tcW w:w="120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3.83</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00" w:type="dxa"/>
            <w:tcBorders/>
            <w:shd w:fill="CCEEFF" w:val="clear"/>
            <w:tcMar>
              <w:bottom w:w="0" w:type="dxa"/>
            </w:tcMar>
            <w:vAlign w:val="center"/>
          </w:tcPr>
          <w:p>
            <w:pPr>
              <w:pStyle w:val="TableContents"/>
              <w:bidi w:val="0"/>
              <w:spacing w:before="0" w:after="283"/>
              <w:jc w:val="left"/>
              <w:rPr/>
            </w:pPr>
            <w:r>
              <w:rPr/>
              <w:t> </w:t>
            </w:r>
          </w:p>
        </w:tc>
      </w:tr>
    </w:tbl>
    <w:tbl>
      <w:tblPr>
        <w:tblW w:w="6268" w:type="dxa"/>
        <w:jc w:val="left"/>
        <w:tblInd w:w="0" w:type="dxa"/>
        <w:tblLayout w:type="fixed"/>
        <w:tblCellMar>
          <w:top w:w="28" w:type="dxa"/>
          <w:left w:w="28" w:type="dxa"/>
          <w:bottom w:w="28" w:type="dxa"/>
          <w:right w:w="28" w:type="dxa"/>
        </w:tblCellMar>
      </w:tblPr>
      <w:tblGrid>
        <w:gridCol w:w="161"/>
        <w:gridCol w:w="376"/>
        <w:gridCol w:w="5731"/>
      </w:tblGrid>
      <w:tr>
        <w:trPr/>
        <w:tc>
          <w:tcPr>
            <w:tcW w:w="161"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0"/>
              <w:jc w:val="left"/>
              <w:rPr>
                <w:sz w:val="18"/>
              </w:rPr>
            </w:pPr>
            <w:r>
              <w:rPr>
                <w:sz w:val="18"/>
              </w:rPr>
              <w:t xml:space="preserve">(1) </w:t>
            </w:r>
          </w:p>
        </w:tc>
        <w:tc>
          <w:tcPr>
            <w:tcW w:w="5731" w:type="dxa"/>
            <w:tcBorders/>
            <w:vAlign w:val="center"/>
          </w:tcPr>
          <w:p>
            <w:pPr>
              <w:pStyle w:val="TableContents"/>
              <w:bidi w:val="0"/>
              <w:spacing w:before="0" w:after="0"/>
              <w:jc w:val="both"/>
              <w:rPr/>
            </w:pPr>
            <w:r>
              <w:rPr/>
              <w:t> </w:t>
            </w:r>
            <w:r>
              <w:rPr>
                <w:sz w:val="18"/>
              </w:rPr>
              <w:t xml:space="preserve">Call option by the FHLB after initial one year lock out. </w:t>
            </w:r>
          </w:p>
        </w:tc>
      </w:tr>
      <w:tr>
        <w:trPr/>
        <w:tc>
          <w:tcPr>
            <w:tcW w:w="161"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(2)</w:t>
            </w:r>
          </w:p>
        </w:tc>
        <w:tc>
          <w:tcPr>
            <w:tcW w:w="5731" w:type="dxa"/>
            <w:tcBorders/>
            <w:vAlign w:val="center"/>
          </w:tcPr>
          <w:p>
            <w:pPr>
              <w:pStyle w:val="TableContents"/>
              <w:bidi w:val="0"/>
              <w:spacing w:before="0" w:after="283"/>
              <w:jc w:val="both"/>
              <w:rPr/>
            </w:pPr>
            <w:r>
              <w:rPr/>
              <w:t> </w:t>
            </w:r>
            <w:r>
              <w:rPr/>
              <w:t>Call option by the FHLB after initial three month lock out.</w:t>
            </w:r>
          </w:p>
        </w:tc>
      </w:tr>
      <w:tr>
        <w:trPr/>
        <w:tc>
          <w:tcPr>
            <w:tcW w:w="161"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(3)</w:t>
            </w:r>
          </w:p>
        </w:tc>
        <w:tc>
          <w:tcPr>
            <w:tcW w:w="5731" w:type="dxa"/>
            <w:tcBorders/>
            <w:vAlign w:val="center"/>
          </w:tcPr>
          <w:p>
            <w:pPr>
              <w:pStyle w:val="TableContents"/>
              <w:bidi w:val="0"/>
              <w:spacing w:before="0" w:after="283"/>
              <w:jc w:val="both"/>
              <w:rPr/>
            </w:pPr>
            <w:r>
              <w:rPr/>
              <w:t> </w:t>
            </w:r>
            <w:r>
              <w:rPr/>
              <w:t>Call option by the FHLB after initial six month lock out.</w:t>
            </w:r>
          </w:p>
        </w:tc>
      </w:tr>
    </w:tbl>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160" w:right="0" w:firstLine="180"/>
        <w:jc w:val="left"/>
        <w:rPr>
          <w:rFonts w:ascii="Times New Roman" w:hAnsi="Times New Roman"/>
          <w:caps w:val="false"/>
          <w:smallCaps w:val="false"/>
          <w:sz w:val="20"/>
        </w:rPr>
      </w:pPr>
      <w:r>
        <w:rPr>
          <w:rFonts w:ascii="Times New Roman" w:hAnsi="Times New Roman"/>
          <w:caps w:val="false"/>
          <w:smallCaps w:val="false"/>
          <w:sz w:val="20"/>
        </w:rPr>
        <w:t>The following table presents information on our total FHLB advances at and for the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17"/>
        <w:gridCol w:w="60"/>
        <w:gridCol w:w="223"/>
        <w:gridCol w:w="1248"/>
        <w:gridCol w:w="332"/>
        <w:gridCol w:w="107"/>
        <w:gridCol w:w="223"/>
        <w:gridCol w:w="1248"/>
        <w:gridCol w:w="185"/>
        <w:gridCol w:w="60"/>
        <w:gridCol w:w="212"/>
        <w:gridCol w:w="1185"/>
        <w:gridCol w:w="315"/>
        <w:gridCol w:w="102"/>
        <w:gridCol w:w="212"/>
        <w:gridCol w:w="1185"/>
        <w:gridCol w:w="191"/>
      </w:tblGrid>
      <w:tr>
        <w:trPr/>
        <w:tc>
          <w:tcPr>
            <w:tcW w:w="31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8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of and For the Three Months Ended June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1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of and For the Six Months Ended June 30,</w:t>
            </w:r>
          </w:p>
        </w:tc>
        <w:tc>
          <w:tcPr>
            <w:tcW w:w="191" w:type="dxa"/>
            <w:tcBorders/>
            <w:shd w:fill="FFFFFF" w:val="clear"/>
            <w:vAlign w:val="center"/>
          </w:tcPr>
          <w:p>
            <w:pPr>
              <w:pStyle w:val="TableContents"/>
              <w:bidi w:val="0"/>
              <w:spacing w:before="0" w:after="283"/>
              <w:jc w:val="left"/>
              <w:rPr/>
            </w:pPr>
            <w:r>
              <w:rPr/>
              <w:t> </w:t>
            </w:r>
          </w:p>
        </w:tc>
      </w:tr>
      <w:tr>
        <w:trPr/>
        <w:tc>
          <w:tcPr>
            <w:tcW w:w="311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FHLB Borrowings:</w:t>
            </w:r>
          </w:p>
        </w:tc>
        <w:tc>
          <w:tcPr>
            <w:tcW w:w="60" w:type="dxa"/>
            <w:tcBorders/>
            <w:shd w:fill="FFFFFF" w:val="clear"/>
            <w:vAlign w:val="center"/>
          </w:tcPr>
          <w:p>
            <w:pPr>
              <w:pStyle w:val="TableContents"/>
              <w:bidi w:val="0"/>
              <w:spacing w:before="0" w:after="283"/>
              <w:ind w:left="0" w:right="0" w:hanging="0"/>
              <w:jc w:val="left"/>
              <w:rPr/>
            </w:pPr>
            <w:r>
              <w:rPr/>
              <w:t> </w:t>
            </w:r>
          </w:p>
        </w:tc>
        <w:tc>
          <w:tcPr>
            <w:tcW w:w="14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332"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ind w:left="0" w:right="0" w:hanging="0"/>
              <w:jc w:val="left"/>
              <w:rPr/>
            </w:pPr>
            <w:r>
              <w:rPr/>
              <w:t> </w:t>
            </w:r>
          </w:p>
        </w:tc>
        <w:tc>
          <w:tcPr>
            <w:tcW w:w="14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315"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139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91" w:type="dxa"/>
            <w:tcBorders/>
            <w:shd w:fill="FFFFFF" w:val="clear"/>
            <w:vAlign w:val="center"/>
          </w:tcPr>
          <w:p>
            <w:pPr>
              <w:pStyle w:val="TableContents"/>
              <w:bidi w:val="0"/>
              <w:spacing w:before="0" w:after="283"/>
              <w:jc w:val="left"/>
              <w:rPr/>
            </w:pPr>
            <w:r>
              <w:rPr/>
              <w:t> </w:t>
            </w:r>
          </w:p>
        </w:tc>
      </w:tr>
      <w:tr>
        <w:trPr/>
        <w:tc>
          <w:tcPr>
            <w:tcW w:w="31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37"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(dollars in thousands)</w:t>
            </w:r>
          </w:p>
        </w:tc>
        <w:tc>
          <w:tcPr>
            <w:tcW w:w="191" w:type="dxa"/>
            <w:tcBorders/>
            <w:shd w:fill="FFFFFF" w:val="clear"/>
            <w:vAlign w:val="center"/>
          </w:tcPr>
          <w:p>
            <w:pPr>
              <w:pStyle w:val="TableContents"/>
              <w:bidi w:val="0"/>
              <w:spacing w:before="0" w:after="283"/>
              <w:jc w:val="left"/>
              <w:rPr/>
            </w:pPr>
            <w:r>
              <w:rPr/>
              <w:t> </w:t>
            </w:r>
          </w:p>
        </w:tc>
      </w:tr>
      <w:tr>
        <w:trPr/>
        <w:tc>
          <w:tcPr>
            <w:tcW w:w="311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period-end</w:t>
            </w:r>
          </w:p>
        </w:tc>
        <w:tc>
          <w:tcPr>
            <w:tcW w:w="60" w:type="dxa"/>
            <w:tcBorders/>
            <w:shd w:fill="CCEEFF" w:val="clear"/>
            <w:vAlign w:val="center"/>
          </w:tcPr>
          <w:p>
            <w:pPr>
              <w:pStyle w:val="TableContents"/>
              <w:bidi w:val="0"/>
              <w:spacing w:before="0" w:after="283"/>
              <w:ind w:left="0" w:right="0" w:hanging="0"/>
              <w:jc w:val="left"/>
              <w:rPr/>
            </w:pPr>
            <w:r>
              <w:rPr/>
              <w:t> </w:t>
            </w:r>
          </w:p>
        </w:tc>
        <w:tc>
          <w:tcPr>
            <w:tcW w:w="22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160,000</w:t>
            </w:r>
          </w:p>
        </w:tc>
        <w:tc>
          <w:tcPr>
            <w:tcW w:w="332"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ind w:left="0" w:right="0" w:hanging="0"/>
              <w:jc w:val="left"/>
              <w:rPr/>
            </w:pPr>
            <w:r>
              <w:rPr/>
              <w:t> </w:t>
            </w:r>
          </w:p>
        </w:tc>
        <w:tc>
          <w:tcPr>
            <w:tcW w:w="22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180,000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160,000</w:t>
            </w:r>
          </w:p>
        </w:tc>
        <w:tc>
          <w:tcPr>
            <w:tcW w:w="315"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21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180,000</w:t>
            </w:r>
          </w:p>
        </w:tc>
        <w:tc>
          <w:tcPr>
            <w:tcW w:w="191" w:type="dxa"/>
            <w:tcBorders/>
            <w:shd w:fill="CCEEFF" w:val="clear"/>
            <w:vAlign w:val="center"/>
          </w:tcPr>
          <w:p>
            <w:pPr>
              <w:pStyle w:val="TableContents"/>
              <w:bidi w:val="0"/>
              <w:spacing w:before="0" w:after="283"/>
              <w:jc w:val="left"/>
              <w:rPr/>
            </w:pPr>
            <w:r>
              <w:rPr/>
              <w:t> </w:t>
            </w:r>
          </w:p>
        </w:tc>
      </w:tr>
      <w:tr>
        <w:trPr/>
        <w:tc>
          <w:tcPr>
            <w:tcW w:w="311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Average amount outstanding</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ind w:left="0" w:right="0" w:hanging="0"/>
              <w:jc w:val="left"/>
              <w:rPr/>
            </w:pPr>
            <w:r>
              <w:rPr/>
              <w:t> </w:t>
            </w:r>
          </w:p>
        </w:tc>
        <w:tc>
          <w:tcPr>
            <w:tcW w:w="12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116,813</w:t>
            </w:r>
          </w:p>
        </w:tc>
        <w:tc>
          <w:tcPr>
            <w:tcW w:w="332"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ind w:left="0" w:right="0" w:hanging="0"/>
              <w:jc w:val="left"/>
              <w:rPr/>
            </w:pPr>
            <w:r>
              <w:rPr/>
              <w:t> </w:t>
            </w:r>
          </w:p>
        </w:tc>
        <w:tc>
          <w:tcPr>
            <w:tcW w:w="12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159,286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11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123,370</w:t>
            </w:r>
          </w:p>
        </w:tc>
        <w:tc>
          <w:tcPr>
            <w:tcW w:w="315"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11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168,011</w:t>
            </w:r>
          </w:p>
        </w:tc>
        <w:tc>
          <w:tcPr>
            <w:tcW w:w="191" w:type="dxa"/>
            <w:tcBorders/>
            <w:shd w:fill="FFFFFF" w:val="clear"/>
            <w:vAlign w:val="center"/>
          </w:tcPr>
          <w:p>
            <w:pPr>
              <w:pStyle w:val="TableContents"/>
              <w:bidi w:val="0"/>
              <w:spacing w:before="0" w:after="283"/>
              <w:jc w:val="left"/>
              <w:rPr/>
            </w:pPr>
            <w:r>
              <w:rPr/>
              <w:t> </w:t>
            </w:r>
          </w:p>
        </w:tc>
      </w:tr>
      <w:tr>
        <w:trPr/>
        <w:tc>
          <w:tcPr>
            <w:tcW w:w="311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Maximum amount outstanding at any month-end</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ind w:left="0" w:right="0" w:hanging="0"/>
              <w:jc w:val="left"/>
              <w:rPr/>
            </w:pPr>
            <w:r>
              <w:rPr/>
              <w:t> </w:t>
            </w:r>
          </w:p>
        </w:tc>
        <w:tc>
          <w:tcPr>
            <w:tcW w:w="12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160,000</w:t>
            </w:r>
          </w:p>
        </w:tc>
        <w:tc>
          <w:tcPr>
            <w:tcW w:w="332"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ind w:left="0" w:right="0" w:hanging="0"/>
              <w:jc w:val="left"/>
              <w:rPr/>
            </w:pPr>
            <w:r>
              <w:rPr/>
              <w:t> </w:t>
            </w:r>
          </w:p>
        </w:tc>
        <w:tc>
          <w:tcPr>
            <w:tcW w:w="12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180,000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pPr>
            <w:r>
              <w:rPr/>
              <w:t> </w:t>
            </w:r>
          </w:p>
        </w:tc>
        <w:tc>
          <w:tcPr>
            <w:tcW w:w="11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160,000</w:t>
            </w:r>
          </w:p>
        </w:tc>
        <w:tc>
          <w:tcPr>
            <w:tcW w:w="315"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pPr>
            <w:r>
              <w:rPr/>
              <w:t> </w:t>
            </w:r>
          </w:p>
        </w:tc>
        <w:tc>
          <w:tcPr>
            <w:tcW w:w="11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180,000</w:t>
            </w:r>
          </w:p>
        </w:tc>
        <w:tc>
          <w:tcPr>
            <w:tcW w:w="191" w:type="dxa"/>
            <w:tcBorders/>
            <w:shd w:fill="CCEEFF" w:val="clear"/>
            <w:vAlign w:val="center"/>
          </w:tcPr>
          <w:p>
            <w:pPr>
              <w:pStyle w:val="TableContents"/>
              <w:bidi w:val="0"/>
              <w:spacing w:before="0" w:after="283"/>
              <w:jc w:val="left"/>
              <w:rPr/>
            </w:pPr>
            <w:r>
              <w:rPr/>
              <w:t> </w:t>
            </w:r>
          </w:p>
        </w:tc>
      </w:tr>
      <w:tr>
        <w:trPr/>
        <w:tc>
          <w:tcPr>
            <w:tcW w:w="311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interest rate:</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248"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248"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11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During period</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ind w:left="0" w:right="0" w:hanging="0"/>
              <w:jc w:val="left"/>
              <w:rPr/>
            </w:pPr>
            <w:r>
              <w:rPr/>
              <w:t> </w:t>
            </w:r>
          </w:p>
        </w:tc>
        <w:tc>
          <w:tcPr>
            <w:tcW w:w="12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w:t>
            </w:r>
          </w:p>
        </w:tc>
        <w:tc>
          <w:tcPr>
            <w:tcW w:w="33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7"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ind w:left="0" w:right="0" w:hanging="0"/>
              <w:jc w:val="left"/>
              <w:rPr/>
            </w:pPr>
            <w:r>
              <w:rPr/>
              <w:t> </w:t>
            </w:r>
          </w:p>
        </w:tc>
        <w:tc>
          <w:tcPr>
            <w:tcW w:w="12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pPr>
            <w:r>
              <w:rPr/>
              <w:t> </w:t>
            </w:r>
          </w:p>
        </w:tc>
        <w:tc>
          <w:tcPr>
            <w:tcW w:w="11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w:t>
            </w:r>
          </w:p>
        </w:tc>
        <w:tc>
          <w:tcPr>
            <w:tcW w:w="3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pPr>
            <w:r>
              <w:rPr/>
              <w:t> </w:t>
            </w:r>
          </w:p>
        </w:tc>
        <w:tc>
          <w:tcPr>
            <w:tcW w:w="11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w:t>
            </w:r>
          </w:p>
        </w:tc>
        <w:tc>
          <w:tcPr>
            <w:tcW w:w="1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1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 of period</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ind w:left="0" w:right="0" w:hanging="0"/>
              <w:jc w:val="left"/>
              <w:rPr/>
            </w:pPr>
            <w:r>
              <w:rPr/>
              <w:t> </w:t>
            </w:r>
          </w:p>
        </w:tc>
        <w:tc>
          <w:tcPr>
            <w:tcW w:w="12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w:t>
            </w:r>
          </w:p>
        </w:tc>
        <w:tc>
          <w:tcPr>
            <w:tcW w:w="33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7"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ind w:left="0" w:right="0" w:hanging="0"/>
              <w:jc w:val="left"/>
              <w:rPr/>
            </w:pPr>
            <w:r>
              <w:rPr/>
              <w:t> </w:t>
            </w:r>
          </w:p>
        </w:tc>
        <w:tc>
          <w:tcPr>
            <w:tcW w:w="12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11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w:t>
            </w:r>
          </w:p>
        </w:tc>
        <w:tc>
          <w:tcPr>
            <w:tcW w:w="3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11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w:t>
            </w:r>
          </w:p>
        </w:tc>
        <w:tc>
          <w:tcPr>
            <w:tcW w:w="1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i/>
          <w:caps w:val="false"/>
          <w:smallCaps w:val="false"/>
          <w:sz w:val="20"/>
        </w:rPr>
        <w:t xml:space="preserve">Long-term Debt. </w:t>
      </w:r>
      <w:r>
        <w:rPr>
          <w:rFonts w:ascii="Times New Roman" w:hAnsi="Times New Roman"/>
          <w:caps w:val="false"/>
          <w:smallCaps w:val="false"/>
          <w:sz w:val="20"/>
        </w:rPr>
        <w:t>Long-term debt consists of subordinated notes. As of June 30, 2026, the amortized cost of subordinated notes was $120.0 million as compared to $119.9 million at December 31, 2025.</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March 2021, we issued $120.0 million of fixed to floating rate subordinated notes due April 1, 2031 (the “Notes”). The interest rate was fixed at 4.00% through March 31, 2026, and now resets quarterly to a rate of three month Secured Overnight Financing Rate (“SOFR”) plus 329 basis points starting April 1, 2026. The rate was set at 6.98% as of April 1, 2026. The Notes may be included in Tier 2 capital with certain limitations applicable under current regulatory guidelines, and such amount is discounted as the Notes approach maturity. Therefore, $96.0 million of the Notes were considered Tier 2 capital at June 30, 2026, compared to $120.0 million at December 31, 2025. The Notes became redeemable at par beginning April 1, 2026, and on July 1, 2026, the Company redeemed $40.0 million at par plus accrued interest.</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i/>
          <w:caps w:val="false"/>
          <w:smallCaps w:val="false"/>
          <w:sz w:val="20"/>
        </w:rPr>
        <w:t xml:space="preserve">Subordinated Debentures. </w:t>
      </w:r>
      <w:r>
        <w:rPr>
          <w:rFonts w:ascii="Times New Roman" w:hAnsi="Times New Roman"/>
          <w:caps w:val="false"/>
          <w:smallCaps w:val="false"/>
          <w:sz w:val="20"/>
        </w:rPr>
        <w:t>Subordinated debentures consist of subordinated debentures issued in connection with three separate trust preferred securities and totaled $15.5 million as of June 30, 2026 and $15.4 million as of December 31, 2025. Under the terms of our subordinated debentures issued in connection with the issuance of trust preferred securities, we are not permitted to declare or pay any dividends on our capital stock if an event of default occurs under the terms of the long-term debt. In addition, we have the option to defer interest payments on the subordinated debentures from time to time for a period not to exceed five consecutive years. For regulatory reporting purposes, trust preferred securities of $15.5 million are included in Tier 1 capital of the Company at June 30, 2026. These subordinated debentures consist of the following at June 30, 2026 and are described in detail after the table below:</w:t>
      </w:r>
    </w:p>
    <w:p>
      <w:pPr>
        <w:pStyle w:val="TextBody"/>
        <w:bidi w:val="0"/>
        <w:spacing w:before="0" w:after="0"/>
        <w:ind w:left="0" w:right="0" w:firstLine="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2"/>
        <w:gridCol w:w="589"/>
        <w:gridCol w:w="60"/>
        <w:gridCol w:w="176"/>
        <w:gridCol w:w="837"/>
        <w:gridCol w:w="60"/>
        <w:gridCol w:w="60"/>
        <w:gridCol w:w="321"/>
        <w:gridCol w:w="1252"/>
        <w:gridCol w:w="60"/>
        <w:gridCol w:w="60"/>
        <w:gridCol w:w="171"/>
        <w:gridCol w:w="808"/>
        <w:gridCol w:w="60"/>
        <w:gridCol w:w="2009"/>
        <w:gridCol w:w="60"/>
        <w:gridCol w:w="142"/>
        <w:gridCol w:w="905"/>
        <w:gridCol w:w="185"/>
        <w:gridCol w:w="948"/>
      </w:tblGrid>
      <w:tr>
        <w:trPr/>
        <w:tc>
          <w:tcPr>
            <w:tcW w:w="1442" w:type="dxa"/>
            <w:tcBorders/>
            <w:shd w:fill="FFFFFF" w:val="clear"/>
            <w:vAlign w:val="center"/>
          </w:tcPr>
          <w:p>
            <w:pPr>
              <w:pStyle w:val="TableContents"/>
              <w:bidi w:val="0"/>
              <w:spacing w:before="0" w:after="283"/>
              <w:ind w:left="0" w:right="0" w:hanging="0"/>
              <w:jc w:val="left"/>
              <w:rPr/>
            </w:pPr>
            <w:r>
              <w:rPr/>
              <w:t> </w:t>
            </w:r>
          </w:p>
        </w:tc>
        <w:tc>
          <w:tcPr>
            <w:tcW w:w="589"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Issue Date</w:t>
            </w:r>
          </w:p>
        </w:tc>
        <w:tc>
          <w:tcPr>
            <w:tcW w:w="60" w:type="dxa"/>
            <w:tcBorders/>
            <w:shd w:fill="FFFFFF" w:val="clear"/>
            <w:vAlign w:val="center"/>
          </w:tcPr>
          <w:p>
            <w:pPr>
              <w:pStyle w:val="TableContents"/>
              <w:bidi w:val="0"/>
              <w:spacing w:before="0" w:after="283"/>
              <w:ind w:left="0" w:right="0" w:hanging="0"/>
              <w:jc w:val="left"/>
              <w:rPr/>
            </w:pPr>
            <w:r>
              <w:rPr/>
              <w:t> </w:t>
            </w:r>
          </w:p>
        </w:tc>
        <w:tc>
          <w:tcPr>
            <w:tcW w:w="101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Principal 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Unamortized Valuation Reserve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Recorded Value</w:t>
            </w:r>
          </w:p>
        </w:tc>
        <w:tc>
          <w:tcPr>
            <w:tcW w:w="60" w:type="dxa"/>
            <w:tcBorders/>
            <w:shd w:fill="FFFFFF" w:val="clear"/>
            <w:vAlign w:val="center"/>
          </w:tcPr>
          <w:p>
            <w:pPr>
              <w:pStyle w:val="TableContents"/>
              <w:bidi w:val="0"/>
              <w:spacing w:before="0" w:after="283"/>
              <w:ind w:left="0" w:right="0" w:hanging="0"/>
              <w:jc w:val="left"/>
              <w:rPr/>
            </w:pPr>
            <w:r>
              <w:rPr/>
              <w:t> </w:t>
            </w:r>
          </w:p>
        </w:tc>
        <w:tc>
          <w:tcPr>
            <w:tcW w:w="2009"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Stated Rate Description</w:t>
            </w:r>
          </w:p>
        </w:tc>
        <w:tc>
          <w:tcPr>
            <w:tcW w:w="60" w:type="dxa"/>
            <w:tcBorders/>
            <w:shd w:fill="FFFFFF" w:val="clear"/>
            <w:vAlign w:val="center"/>
          </w:tcPr>
          <w:p>
            <w:pPr>
              <w:pStyle w:val="TableContents"/>
              <w:bidi w:val="0"/>
              <w:spacing w:before="0" w:after="283"/>
              <w:ind w:left="0" w:right="0" w:hanging="0"/>
              <w:jc w:val="left"/>
              <w:rPr/>
            </w:pPr>
            <w:r>
              <w:rPr/>
              <w:t> </w:t>
            </w:r>
          </w:p>
        </w:tc>
        <w:tc>
          <w:tcPr>
            <w:tcW w:w="104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Effective Stated Rate</w:t>
            </w:r>
          </w:p>
        </w:tc>
        <w:tc>
          <w:tcPr>
            <w:tcW w:w="185" w:type="dxa"/>
            <w:tcBorders/>
            <w:shd w:fill="FFFFFF" w:val="clear"/>
            <w:vAlign w:val="center"/>
          </w:tcPr>
          <w:p>
            <w:pPr>
              <w:pStyle w:val="TableContents"/>
              <w:bidi w:val="0"/>
              <w:spacing w:before="0" w:after="283"/>
              <w:ind w:left="0" w:right="0" w:hanging="0"/>
              <w:jc w:val="left"/>
              <w:rPr/>
            </w:pPr>
            <w:r>
              <w:rPr/>
              <w:t> </w:t>
            </w:r>
          </w:p>
        </w:tc>
        <w:tc>
          <w:tcPr>
            <w:tcW w:w="948"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Stated Maturity</w:t>
            </w:r>
          </w:p>
        </w:tc>
      </w:tr>
      <w:tr>
        <w:trPr/>
        <w:tc>
          <w:tcPr>
            <w:tcW w:w="144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Subordinated debentures:</w:t>
            </w:r>
          </w:p>
        </w:tc>
        <w:tc>
          <w:tcPr>
            <w:tcW w:w="8763" w:type="dxa"/>
            <w:gridSpan w:val="19"/>
            <w:tcBorders/>
            <w:shd w:fill="FFFFFF" w:val="clear"/>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(dollars in thousands)</w:t>
            </w:r>
          </w:p>
        </w:tc>
      </w:tr>
      <w:tr>
        <w:trPr/>
        <w:tc>
          <w:tcPr>
            <w:tcW w:w="144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TFC Trust</w:t>
            </w:r>
          </w:p>
        </w:tc>
        <w:tc>
          <w:tcPr>
            <w:tcW w:w="589"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12/22/2006</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4,192</w:t>
            </w:r>
          </w:p>
        </w:tc>
        <w:tc>
          <w:tcPr>
            <w:tcW w:w="60" w:type="dxa"/>
            <w:tcBorders/>
            <w:shd w:fill="CCEEFF" w:val="clear"/>
            <w:vAlign w:val="center"/>
          </w:tcPr>
          <w:p>
            <w:pPr>
              <w:pStyle w:val="TableContents"/>
              <w:bidi w:val="0"/>
              <w:spacing w:before="0" w:after="283"/>
              <w:ind w:left="0" w:right="0" w:hanging="0"/>
              <w:jc w:val="left"/>
              <w:rPr/>
            </w:pPr>
            <w:r>
              <w:rPr/>
              <w:t> </w:t>
            </w:r>
          </w:p>
        </w:tc>
        <w:tc>
          <w:tcPr>
            <w:tcW w:w="2009"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Three-month CME Term SOFR plus 0.26% plus 1.65%</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5.58</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8"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3/15/2037</w:t>
            </w:r>
          </w:p>
        </w:tc>
      </w:tr>
      <w:tr>
        <w:trPr/>
        <w:tc>
          <w:tcPr>
            <w:tcW w:w="144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FAIC Trust</w:t>
            </w:r>
          </w:p>
        </w:tc>
        <w:tc>
          <w:tcPr>
            <w:tcW w:w="589"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12/15/2004</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8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ind w:left="0" w:right="0" w:hanging="0"/>
              <w:jc w:val="left"/>
              <w:rPr/>
            </w:pPr>
            <w:r>
              <w:rPr/>
              <w:t> </w:t>
            </w:r>
          </w:p>
        </w:tc>
        <w:tc>
          <w:tcPr>
            <w:tcW w:w="12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8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6,568</w:t>
            </w:r>
          </w:p>
        </w:tc>
        <w:tc>
          <w:tcPr>
            <w:tcW w:w="60" w:type="dxa"/>
            <w:tcBorders/>
            <w:shd w:fill="FFFFFF" w:val="clear"/>
            <w:vAlign w:val="center"/>
          </w:tcPr>
          <w:p>
            <w:pPr>
              <w:pStyle w:val="TableContents"/>
              <w:bidi w:val="0"/>
              <w:spacing w:before="0" w:after="283"/>
              <w:ind w:left="0" w:right="0" w:hanging="0"/>
              <w:jc w:val="left"/>
              <w:rPr/>
            </w:pPr>
            <w:r>
              <w:rPr/>
              <w:t> </w:t>
            </w:r>
          </w:p>
        </w:tc>
        <w:tc>
          <w:tcPr>
            <w:tcW w:w="2009"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Three-month CME Term SOFR plus 0.26% plus 2.25%</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6.18</w:t>
            </w:r>
          </w:p>
        </w:tc>
        <w:tc>
          <w:tcPr>
            <w:tcW w:w="18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8"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12/15/2034</w:t>
            </w:r>
          </w:p>
        </w:tc>
      </w:tr>
      <w:tr>
        <w:trPr/>
        <w:tc>
          <w:tcPr>
            <w:tcW w:w="144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PGBH Trust</w:t>
            </w:r>
          </w:p>
        </w:tc>
        <w:tc>
          <w:tcPr>
            <w:tcW w:w="589"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12/15/2004</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4,724</w:t>
            </w:r>
          </w:p>
        </w:tc>
        <w:tc>
          <w:tcPr>
            <w:tcW w:w="60" w:type="dxa"/>
            <w:tcBorders/>
            <w:shd w:fill="CCEEFF" w:val="clear"/>
            <w:vAlign w:val="center"/>
          </w:tcPr>
          <w:p>
            <w:pPr>
              <w:pStyle w:val="TableContents"/>
              <w:bidi w:val="0"/>
              <w:spacing w:before="0" w:after="283"/>
              <w:ind w:left="0" w:right="0" w:hanging="0"/>
              <w:jc w:val="left"/>
              <w:rPr/>
            </w:pPr>
            <w:r>
              <w:rPr/>
              <w:t> </w:t>
            </w:r>
          </w:p>
        </w:tc>
        <w:tc>
          <w:tcPr>
            <w:tcW w:w="2009"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Three-month CME Term SOFR plus 0.26% plus 2.10%</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6.03</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8"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12/15/2034</w:t>
            </w:r>
          </w:p>
        </w:tc>
      </w:tr>
      <w:tr>
        <w:trPr/>
        <w:tc>
          <w:tcPr>
            <w:tcW w:w="2031" w:type="dxa"/>
            <w:gridSpan w:val="2"/>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5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15,484</w:t>
            </w:r>
          </w:p>
        </w:tc>
        <w:tc>
          <w:tcPr>
            <w:tcW w:w="60" w:type="dxa"/>
            <w:tcBorders/>
            <w:shd w:fill="FFFFFF" w:val="clear"/>
            <w:vAlign w:val="center"/>
          </w:tcPr>
          <w:p>
            <w:pPr>
              <w:pStyle w:val="TableContents"/>
              <w:bidi w:val="0"/>
              <w:spacing w:before="0" w:after="283"/>
              <w:jc w:val="left"/>
              <w:rPr/>
            </w:pPr>
            <w:r>
              <w:rPr/>
              <w:t> </w:t>
            </w:r>
          </w:p>
        </w:tc>
        <w:tc>
          <w:tcPr>
            <w:tcW w:w="20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At June 30, 2026, we were in compliance with all covenants under our long-term debt agreements and subordinated debt.</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Company maintains the TFC Statutory Trust ("TFC Trust"), which has issued a total of $5.2 million securities ($5.0 million in capital securities and $155,000 in common securities). The TFC Trust subordinated debentures have a variable rate of interest equal to three</w:t>
      </w:r>
      <w:r>
        <w:rPr>
          <w:rFonts w:ascii="Times New Roman" w:hAnsi="Times New Roman"/>
          <w:i/>
          <w:caps w:val="false"/>
          <w:smallCaps w:val="false"/>
          <w:sz w:val="20"/>
        </w:rPr>
        <w:t>-</w:t>
      </w:r>
      <w:r>
        <w:rPr>
          <w:rFonts w:ascii="Times New Roman" w:hAnsi="Times New Roman"/>
          <w:caps w:val="false"/>
          <w:smallCaps w:val="false"/>
          <w:sz w:val="20"/>
        </w:rPr>
        <w:t>month CME Term SOFR plus applicable tenor spread adjustment of 0.26% plus 1.65%, which was 5.58% as of June 30, 2026 and 5.63% at December 31, 2025.</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Company maintains the First American International Statutory Trust I ("FAIC Trust"), which has issued a total of $7.2 million securities ($7.0 million in capital securities and $217,000 in common securities). The FAIC Trust subordinated debentures have a variable rate of interest equal to three</w:t>
      </w:r>
      <w:r>
        <w:rPr>
          <w:rFonts w:ascii="Times New Roman" w:hAnsi="Times New Roman"/>
          <w:i/>
          <w:caps w:val="false"/>
          <w:smallCaps w:val="false"/>
          <w:sz w:val="20"/>
        </w:rPr>
        <w:t>-</w:t>
      </w:r>
      <w:r>
        <w:rPr>
          <w:rFonts w:ascii="Times New Roman" w:hAnsi="Times New Roman"/>
          <w:caps w:val="false"/>
          <w:smallCaps w:val="false"/>
          <w:sz w:val="20"/>
        </w:rPr>
        <w:t>month CME Term SOFR plus applicable tenor spread adjustment of 0.26% plus 2.25%, which was 6.18% as of June 30, 2026 and 6.23% at December 31, 2025.</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Company maintains the Pacific Global Bank Trust I ("PGBH Trust"), a Delaware statutory trust formed in December 2004. PGBH Trust issued 5,000 units of fixed-to-floating rate capital securities with an aggregate liquidation amount of $5.0 million and 155 common securities with an aggregate liquidation amount of $155,000. The PGBH subordinated debentures have a variable rate of interest equal to three</w:t>
      </w:r>
      <w:r>
        <w:rPr>
          <w:rFonts w:ascii="Times New Roman" w:hAnsi="Times New Roman"/>
          <w:i/>
          <w:caps w:val="false"/>
          <w:smallCaps w:val="false"/>
          <w:sz w:val="20"/>
        </w:rPr>
        <w:t>-</w:t>
      </w:r>
      <w:r>
        <w:rPr>
          <w:rFonts w:ascii="Times New Roman" w:hAnsi="Times New Roman"/>
          <w:caps w:val="false"/>
          <w:smallCaps w:val="false"/>
          <w:sz w:val="20"/>
        </w:rPr>
        <w:t>month CME Term SOFR plus applicable tenor spread adjustment of 0.26% plus 2.10%, which was 6.03% as of June 30, 2026 and 6.08% at December 31, 2025.</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Capital Resources and Liquidity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i/>
          <w:caps w:val="false"/>
          <w:smallCaps w:val="false"/>
          <w:sz w:val="20"/>
        </w:rPr>
        <w:t xml:space="preserve">Capital Resources. </w:t>
      </w:r>
      <w:r>
        <w:rPr>
          <w:rFonts w:ascii="Times New Roman" w:hAnsi="Times New Roman"/>
          <w:caps w:val="false"/>
          <w:smallCaps w:val="false"/>
          <w:sz w:val="20"/>
        </w:rPr>
        <w:t>Shareholders’ equity is influenced primarily by earnings, dividends, sales and redemptions of common stock and preferred stock and changes in accumulated other comprehensive income, net of taxes, from AFS investment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 xml:space="preserve">Shareholders’ equity increased $11.8 million, or 2.2%, to $535.2 million as of June 30, 2026 from $523.4 million at December 31, 2025. The increase in shareholders' equity for the first half of 2026 was due to net income of $21.4 million and equity compensation activity of $1.6 million, offset by common stock repurchases of $4.5 million, common stock cash dividends paid of $5.5 million and an increase in unrealized losses on AFS securities in accumulated other comprehensive loss, net of tax, of $1.3 million, As a result, book value per share increased to $31.51 from $30.69 at December 31, 2025 and tangible book value per share increased to $27.23 from $26.42 at December 31, 2025. For additional information, see </w:t>
      </w:r>
      <w:r>
        <w:rPr>
          <w:rFonts w:ascii="Times New Roman" w:hAnsi="Times New Roman"/>
          <w:i/>
          <w:caps w:val="false"/>
          <w:smallCaps w:val="false"/>
          <w:sz w:val="20"/>
        </w:rPr>
        <w:t>"Non-GAAP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i/>
          <w:caps w:val="false"/>
          <w:smallCaps w:val="false"/>
          <w:sz w:val="20"/>
        </w:rPr>
        <w:t>Liquidity Management. </w:t>
      </w:r>
      <w:r>
        <w:rPr>
          <w:rFonts w:ascii="Times New Roman" w:hAnsi="Times New Roman"/>
          <w:caps w:val="false"/>
          <w:smallCaps w:val="false"/>
          <w:sz w:val="20"/>
        </w:rPr>
        <w:t>Liquidity refers to the measure of our ability to meet the cash flow requirements of depositors and borrowers, while at the same time meeting our operating, capital and strategic cash flow needs, all at a reasonable cost. We continuously monitor our liquidity position to ensure that assets and liabilities are managed to meet all short-term and long-term cash requirements, both known and unknown. We manage our liquidity position to meet the daily cash flow needs of customers, while also maintaining an appropriate balance between assets and liabilities to meet the return on investment objectives of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liquidity position is supported by management of liquid assets and liabilities and access to alternative sources of funds. Liquid assets include cash, interest-earning deposits in banks, federal funds sold, available for sale securities, term federal funds, purchased receivables and maturing or prepaying balances in our securities and loan portfolios. Liquid liabilities include retail deposits, federal funds purchased, securities sold under repurchase agreements and other borrowings. Other sources of liquidity include the sale of loans, the ability to acquire additional wholesale funding, the issuance of additional collateralized borrowings through FHLB advances or the Federal Reserve’s discount window, and the ability to access the capital markets through the issuance of debt securities, preferred securities or common securities. Our short-term and long-term liquidity requirements are primarily to fund known and unknown on-going operations, including payment of interest on deposits and debt, extensions of credit to borrowers, capital expenditures and shareholder dividends. These liquidity requirements are met primarily through cash flow from operations, redeployment of prepaying and maturing balances in our loan and investment portfolios, debt financing and increases in customer deposits. We have sufficient capital and do not anticipate any need for additional liquidity sources as of June 30, 2026. For additional information regarding our operating, investing and financing cash flows, see the consolidated statements of cash flows provided in our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Integral to our liquidity management is the administration of short-term borrowings. To the extent we are unable to obtain sufficient liquidity through core deposits, we seek to meet our liquidity needs through wholesale funding or other borrowings on either a short- or long-term basis. The Bank's wholesale funding ratio was 7.9% at June 30, 2026 compared to 10.3% at December 31, 2025.</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Bank has established secured and unsecured lines of credit. The Bank had a secured line of credit from the Federal Reserve Discount Window of $69.7 million at June 30, 2026 and $66.5 million at December 31, 2025 collateralized by a pool of CRE loans totaling $88.6 million as of June 30, 2026 and $88.9 million as of December 31, 2025. The Bank did not have any borrowings outstanding with the Federal Reserve at June 30, 2026 and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Bank also had a secured line of credit with the FHLB of $1.5 billion at June 30, 2026 and December 31, 2025, of which $160.0 million and $130.0 million were outstanding, respectively. Based on the values of loans pledged as collateral, we had $1.4 billion of remaining secured borrowing capacity with the FHLB as of June 30, 2026 and December 31, 2025.</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addition, the Bank had $97.0 million of unsecured federal funds lines with other financial institutions and no amounts advanced against these lines at June 30, 2026 and December 31, 2025.</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Bancorp is a corporation separate and apart from the Bank and, therefore, must provide for its own liquidity. Bancorp’s main source of funding is dividends declared and paid to Bancorp by the Bank. There are statutory, regulatory and debt covenant limitations that affect the ability of the Bank to pay dividends to Bancorp. Management believes that these limitations will not impact our ability to meet our ongoing short-term cash obligations. During the six months ended June 30, 2026, the Bank paid $50 million of cash dividends to Bancorp and paid $45.0 million during the six months ended June 30, 2025. During the six months ended June 30, 2026, dividends on common stock totaled $5.5 million and totaled $5.7 million during the six months ended June 30, 2025. At June 30, 2026, Bancorp had $84.5 million in cash, of which $84.1 million was on deposit at the Bank.</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b/>
          <w:caps w:val="false"/>
          <w:smallCaps w:val="false"/>
          <w:sz w:val="20"/>
        </w:rPr>
      </w:pPr>
      <w:r>
        <w:rPr>
          <w:rFonts w:ascii="Times New Roman" w:hAnsi="Times New Roman"/>
          <w:b/>
          <w:caps w:val="false"/>
          <w:smallCaps w:val="false"/>
          <w:sz w:val="20"/>
        </w:rPr>
        <w:t>Contractual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following table contains supplemental information regarding our total contractual obligations at June 30, 2026:</w:t>
      </w:r>
    </w:p>
    <w:p>
      <w:pPr>
        <w:pStyle w:val="TextBody"/>
        <w:bidi w:val="0"/>
        <w:spacing w:before="0" w:after="0"/>
        <w:ind w:left="0" w:right="0" w:firstLine="540"/>
        <w:jc w:val="both"/>
        <w:rPr>
          <w:caps w:val="false"/>
          <w:smallCaps w:val="false"/>
        </w:rPr>
      </w:pPr>
      <w:r>
        <w:rPr>
          <w:caps w:val="false"/>
          <w:smallCaps w:val="false"/>
        </w:rPr>
        <w:t> </w:t>
      </w:r>
    </w:p>
    <w:tbl>
      <w:tblPr>
        <w:tblW w:w="8497" w:type="dxa"/>
        <w:jc w:val="left"/>
        <w:tblInd w:w="0" w:type="dxa"/>
        <w:tblLayout w:type="fixed"/>
        <w:tblCellMar>
          <w:top w:w="0" w:type="dxa"/>
          <w:left w:w="0" w:type="dxa"/>
          <w:bottom w:w="0" w:type="dxa"/>
          <w:right w:w="0" w:type="dxa"/>
        </w:tblCellMar>
      </w:tblPr>
      <w:tblGrid>
        <w:gridCol w:w="2795"/>
        <w:gridCol w:w="60"/>
        <w:gridCol w:w="125"/>
        <w:gridCol w:w="845"/>
        <w:gridCol w:w="60"/>
        <w:gridCol w:w="60"/>
        <w:gridCol w:w="187"/>
        <w:gridCol w:w="882"/>
        <w:gridCol w:w="60"/>
        <w:gridCol w:w="60"/>
        <w:gridCol w:w="185"/>
        <w:gridCol w:w="1034"/>
        <w:gridCol w:w="60"/>
        <w:gridCol w:w="60"/>
        <w:gridCol w:w="152"/>
        <w:gridCol w:w="722"/>
        <w:gridCol w:w="60"/>
        <w:gridCol w:w="60"/>
        <w:gridCol w:w="125"/>
        <w:gridCol w:w="845"/>
        <w:gridCol w:w="60"/>
      </w:tblGrid>
      <w:tr>
        <w:trPr/>
        <w:tc>
          <w:tcPr>
            <w:tcW w:w="27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582"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Payments Due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Within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One to</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Over Three to</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After Five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One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Five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582" w:type="dxa"/>
            <w:gridSpan w:val="18"/>
            <w:tcBorders/>
            <w:shd w:fill="FFFFFF" w:val="clear"/>
            <w:vAlign w:val="center"/>
          </w:tcPr>
          <w:p>
            <w:pPr>
              <w:pStyle w:val="TableContents"/>
              <w:bidi w:val="0"/>
              <w:spacing w:before="0" w:after="283"/>
              <w:jc w:val="center"/>
              <w:rPr>
                <w:rFonts w:ascii="Times New Roman;Times;serif" w:hAnsi="Times New Roman;Times;serif"/>
                <w:b/>
                <w:i/>
                <w:sz w:val="20"/>
              </w:rPr>
            </w:pPr>
            <w:r>
              <w:rPr>
                <w:rFonts w:ascii="Times New Roman;Times;serif" w:hAnsi="Times New Roman;Times;serif"/>
                <w:b/>
                <w:i/>
                <w:sz w:val="20"/>
              </w:rPr>
              <w:t>(dollars in thousands)</w:t>
            </w:r>
          </w:p>
        </w:tc>
        <w:tc>
          <w:tcPr>
            <w:tcW w:w="60"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Deposits without a stated maturity</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1,782,754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1,782,754</w:t>
            </w:r>
          </w:p>
        </w:tc>
        <w:tc>
          <w:tcPr>
            <w:tcW w:w="60"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Time deposits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1,596,548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8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72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1,607,887</w:t>
            </w:r>
          </w:p>
        </w:tc>
        <w:tc>
          <w:tcPr>
            <w:tcW w:w="60"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FHLB advances (1)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8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72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160,000</w:t>
            </w:r>
          </w:p>
        </w:tc>
        <w:tc>
          <w:tcPr>
            <w:tcW w:w="60"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88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72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120,000</w:t>
            </w:r>
          </w:p>
        </w:tc>
        <w:tc>
          <w:tcPr>
            <w:tcW w:w="60"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Subordinated debentures (2)</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88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7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15,484</w:t>
            </w:r>
          </w:p>
        </w:tc>
        <w:tc>
          <w:tcPr>
            <w:tcW w:w="60"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5,627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9,898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5,197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5,139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25,861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contractual obligations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3,524,929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40,406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126,028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20,623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3,711,986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(1)</w:t>
            </w:r>
          </w:p>
        </w:tc>
        <w:tc>
          <w:tcPr>
            <w:tcW w:w="9989" w:type="dxa"/>
            <w:tcBorders/>
            <w:vAlign w:val="center"/>
          </w:tcPr>
          <w:p>
            <w:pPr>
              <w:pStyle w:val="TableContents"/>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 xml:space="preserve">See </w:t>
            </w:r>
            <w:r>
              <w:rPr>
                <w:rFonts w:ascii="Times New Roman" w:hAnsi="Times New Roman"/>
                <w:i/>
                <w:caps w:val="false"/>
                <w:smallCaps w:val="false"/>
                <w:sz w:val="16"/>
              </w:rPr>
              <w:t>"FHLB Borrowings"</w:t>
            </w:r>
            <w:r>
              <w:rPr>
                <w:rFonts w:ascii="Times New Roman" w:hAnsi="Times New Roman"/>
                <w:caps w:val="false"/>
                <w:smallCaps w:val="false"/>
                <w:sz w:val="16"/>
              </w:rPr>
              <w:t xml:space="preserve"> for the structure of FHLB advances that are callable by FHLB within one year, however final stated maturities range from 1.9 to 4.0 years as of June 30, 2026.</w:t>
            </w:r>
          </w:p>
        </w:tc>
      </w:tr>
      <w:tr>
        <w:trPr/>
        <w:tc>
          <w:tcPr>
            <w:tcW w:w="216" w:type="dxa"/>
            <w:tcBorders/>
            <w:vAlign w:val="center"/>
          </w:tcPr>
          <w:p>
            <w:pPr>
              <w:pStyle w:val="TableContents"/>
              <w:bidi w:val="0"/>
              <w:spacing w:before="0" w:after="283"/>
              <w:jc w:val="left"/>
              <w:rPr>
                <w:sz w:val="16"/>
              </w:rPr>
            </w:pPr>
            <w:r>
              <w:rPr>
                <w:sz w:val="16"/>
              </w:rPr>
              <w:t>(2)</w:t>
            </w:r>
          </w:p>
        </w:tc>
        <w:tc>
          <w:tcPr>
            <w:tcW w:w="9989" w:type="dxa"/>
            <w:tcBorders/>
            <w:vAlign w:val="center"/>
          </w:tcPr>
          <w:p>
            <w:pPr>
              <w:pStyle w:val="TableContents"/>
              <w:bidi w:val="0"/>
              <w:spacing w:before="0" w:after="283"/>
              <w:jc w:val="left"/>
              <w:rPr>
                <w:sz w:val="16"/>
              </w:rPr>
            </w:pPr>
            <w:r>
              <w:rPr>
                <w:sz w:val="16"/>
              </w:rPr>
              <w:t>Represents the principal amount of $17.5 million less the unamortized valuation reserve of $2.0 million.</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Off-Balance Sheet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Refer to Note 13 in our consolidated financial statements for information related to our off-balance sheet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Some of the financial measures included herein are not measures of financial performance recognized by GAAP. These non-GAAP financial measures include the “tangible common equity to tangible assets ratio,” “tangible book value per share,” “return on average tangible common equity,” and "pre-tax pre-provision income." Our management uses these non-GAAP financial measures in our analysis of our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i/>
          <w:caps w:val="false"/>
          <w:smallCaps w:val="false"/>
          <w:sz w:val="20"/>
        </w:rPr>
        <w:t xml:space="preserve">Tangible Common Equity to Tangible Assets Ratio and Tangible Book Value Per Share. </w:t>
      </w:r>
      <w:r>
        <w:rPr>
          <w:rFonts w:ascii="Times New Roman" w:hAnsi="Times New Roman"/>
          <w:caps w:val="false"/>
          <w:smallCaps w:val="false"/>
          <w:sz w:val="20"/>
        </w:rPr>
        <w:t>The tangible common equity to tangible assets ratio and tangible book value per share are non-GAAP measures generally used by financial analysts and investment bankers to evaluate capital adequacy. We calculate: (i) tangible common equity as total shareholders’ equity less goodwill and other intangible assets (excluding mortgage servicing assets); (ii) tangible assets as total assets less goodwill and other intangible assets (excluding mortgage servicing assets); and (iii) tangible book value per share as tangible common equity divided by period end shares of common stock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management, banking regulators, many financial analysts and other investors use these measures in conjunction with more traditional bank capital ratios to compare the capital adequacy of banking organizations with significant amounts of goodwill or other intangible assets, which typically stem from the use of the purchase method of accounting for mergers and acquisitions. Tangible common equity, tangible assets, tangible book value per share and related measures should not be considered in isolation or as a substitute for total shareholders’ equity, total assets, book value per share or any other measure calculated in accordance with GAAP. Moreover, the manner in which we calculate tangible common equity, tangible assets, tangible book value per share and any other related measures may differ from that of other companies reporting measures with similar names. The following table reconciles shareholders’ equity (on a GAAP basis) to tangible common equity and total assets (on a GAAP basis) to tangible assets, and calculates our tangible book value per share:</w:t>
      </w:r>
    </w:p>
    <w:p>
      <w:pPr>
        <w:pStyle w:val="TextBody"/>
        <w:bidi w:val="0"/>
        <w:spacing w:before="0" w:after="0"/>
        <w:ind w:left="0" w:right="0" w:firstLine="540"/>
        <w:jc w:val="both"/>
        <w:rPr>
          <w:caps w:val="false"/>
          <w:smallCaps w:val="false"/>
        </w:rPr>
      </w:pPr>
      <w:r>
        <w:rPr>
          <w:caps w:val="false"/>
          <w:smallCaps w:val="false"/>
        </w:rPr>
        <w:t> </w:t>
      </w:r>
    </w:p>
    <w:tbl>
      <w:tblPr>
        <w:tblW w:w="8687" w:type="dxa"/>
        <w:jc w:val="left"/>
        <w:tblInd w:w="0" w:type="dxa"/>
        <w:tblLayout w:type="fixed"/>
        <w:tblCellMar>
          <w:top w:w="0" w:type="dxa"/>
          <w:left w:w="0" w:type="dxa"/>
          <w:bottom w:w="0" w:type="dxa"/>
          <w:right w:w="0" w:type="dxa"/>
        </w:tblCellMar>
      </w:tblPr>
      <w:tblGrid>
        <w:gridCol w:w="3935"/>
        <w:gridCol w:w="60"/>
        <w:gridCol w:w="138"/>
        <w:gridCol w:w="1051"/>
        <w:gridCol w:w="185"/>
        <w:gridCol w:w="60"/>
        <w:gridCol w:w="190"/>
        <w:gridCol w:w="1449"/>
        <w:gridCol w:w="185"/>
        <w:gridCol w:w="60"/>
        <w:gridCol w:w="138"/>
        <w:gridCol w:w="1051"/>
        <w:gridCol w:w="185"/>
      </w:tblGrid>
      <w:tr>
        <w:trPr/>
        <w:tc>
          <w:tcPr>
            <w:tcW w:w="39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2025</w:t>
            </w:r>
          </w:p>
        </w:tc>
        <w:tc>
          <w:tcPr>
            <w:tcW w:w="185" w:type="dxa"/>
            <w:tcBorders/>
            <w:shd w:fill="FFFFFF" w:val="clear"/>
            <w:vAlign w:val="center"/>
          </w:tcPr>
          <w:p>
            <w:pPr>
              <w:pStyle w:val="TableContents"/>
              <w:bidi w:val="0"/>
              <w:spacing w:before="0" w:after="283"/>
              <w:jc w:val="left"/>
              <w:rPr/>
            </w:pPr>
            <w:r>
              <w:rPr/>
              <w:t> </w:t>
            </w:r>
          </w:p>
        </w:tc>
      </w:tr>
      <w:tr>
        <w:trPr/>
        <w:tc>
          <w:tcPr>
            <w:tcW w:w="393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Tangible Common Equity Ratios:</w:t>
            </w:r>
          </w:p>
        </w:tc>
        <w:tc>
          <w:tcPr>
            <w:tcW w:w="60" w:type="dxa"/>
            <w:tcBorders/>
            <w:shd w:fill="FFFFFF" w:val="clear"/>
            <w:vAlign w:val="center"/>
          </w:tcPr>
          <w:p>
            <w:pPr>
              <w:pStyle w:val="TableContents"/>
              <w:bidi w:val="0"/>
              <w:spacing w:before="0" w:after="283"/>
              <w:ind w:left="0" w:right="0" w:hanging="0"/>
              <w:jc w:val="left"/>
              <w:rPr/>
            </w:pPr>
            <w:r>
              <w:rPr/>
              <w:t> </w:t>
            </w:r>
          </w:p>
        </w:tc>
        <w:tc>
          <w:tcPr>
            <w:tcW w:w="4507"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(dollars in thousands)</w:t>
            </w:r>
          </w:p>
        </w:tc>
        <w:tc>
          <w:tcPr>
            <w:tcW w:w="185"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Tangible common equity:</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44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shareholders'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535,177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523,410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517,653</w:t>
            </w:r>
          </w:p>
        </w:tc>
        <w:tc>
          <w:tcPr>
            <w:tcW w:w="185"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44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10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(71,498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14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(71,498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10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(71,498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Core deposit intangible</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Tangible common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462,601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4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450,574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444,488</w:t>
            </w:r>
          </w:p>
        </w:tc>
        <w:tc>
          <w:tcPr>
            <w:tcW w:w="185"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Tangible assets:</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44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assets-GAAP</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4,275,002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4,208,294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4,090,040</w:t>
            </w:r>
          </w:p>
        </w:tc>
        <w:tc>
          <w:tcPr>
            <w:tcW w:w="185"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44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10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(71,498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14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(71,498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10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(71,498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Core deposit intangible</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Tangible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4,202,426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4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4,135,458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4,016,875</w:t>
            </w:r>
          </w:p>
        </w:tc>
        <w:tc>
          <w:tcPr>
            <w:tcW w:w="185"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shares outstanding</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10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16,985,919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14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17,057,397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10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17,699,091</w:t>
            </w:r>
          </w:p>
        </w:tc>
        <w:tc>
          <w:tcPr>
            <w:tcW w:w="185"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equity to assets ratio</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10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14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10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Tangible common equity to tangible assets ratio</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10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14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10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Book value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29.25</w:t>
            </w:r>
          </w:p>
        </w:tc>
        <w:tc>
          <w:tcPr>
            <w:tcW w:w="185"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Tangible book value per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3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25.11</w:t>
            </w:r>
          </w:p>
        </w:tc>
        <w:tc>
          <w:tcPr>
            <w:tcW w:w="18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i/>
          <w:caps w:val="false"/>
          <w:smallCaps w:val="false"/>
          <w:sz w:val="20"/>
        </w:rPr>
        <w:t xml:space="preserve">Return on Average Tangible Common Equity. </w:t>
      </w:r>
      <w:r>
        <w:rPr>
          <w:rFonts w:ascii="Times New Roman" w:hAnsi="Times New Roman"/>
          <w:caps w:val="false"/>
          <w:smallCaps w:val="false"/>
          <w:sz w:val="20"/>
        </w:rPr>
        <w:t>Management measures return on average tangible common equity (“ROATCE”) to assess our capital strength and business performance. Tangible equity excludes goodwill and other intangible assets (excluding mortgage servicing assets), and is reviewed by banking and financial institution regulators when assessing a financial institution’s capital adequacy. This non-GAAP financial measure should not be considered a substitute for operating results determined in accordance with GAAP and may not be comparable to other similarly titled measures used by other companies. The following table reconciles ROATCE to its most comparable GAAP measure:</w:t>
      </w:r>
    </w:p>
    <w:p>
      <w:pPr>
        <w:pStyle w:val="TextBody"/>
        <w:bidi w:val="0"/>
        <w:spacing w:before="0" w:after="0"/>
        <w:ind w:left="0" w:right="0" w:firstLine="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63"/>
        <w:gridCol w:w="60"/>
        <w:gridCol w:w="163"/>
        <w:gridCol w:w="911"/>
        <w:gridCol w:w="185"/>
        <w:gridCol w:w="60"/>
        <w:gridCol w:w="180"/>
        <w:gridCol w:w="1007"/>
        <w:gridCol w:w="185"/>
        <w:gridCol w:w="60"/>
        <w:gridCol w:w="163"/>
        <w:gridCol w:w="911"/>
        <w:gridCol w:w="185"/>
        <w:gridCol w:w="60"/>
        <w:gridCol w:w="162"/>
        <w:gridCol w:w="911"/>
        <w:gridCol w:w="206"/>
        <w:gridCol w:w="66"/>
        <w:gridCol w:w="162"/>
        <w:gridCol w:w="911"/>
        <w:gridCol w:w="194"/>
      </w:tblGrid>
      <w:tr>
        <w:trPr/>
        <w:tc>
          <w:tcPr>
            <w:tcW w:w="34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2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Three Months Ended</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1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Six Months Ended</w:t>
            </w:r>
          </w:p>
        </w:tc>
        <w:tc>
          <w:tcPr>
            <w:tcW w:w="194" w:type="dxa"/>
            <w:tcBorders/>
            <w:shd w:fill="FFFFFF" w:val="clear"/>
            <w:vAlign w:val="center"/>
          </w:tcPr>
          <w:p>
            <w:pPr>
              <w:pStyle w:val="TableContents"/>
              <w:bidi w:val="0"/>
              <w:spacing w:before="0" w:after="283"/>
              <w:jc w:val="left"/>
              <w:rPr/>
            </w:pPr>
            <w:r>
              <w:rPr/>
              <w:t> </w:t>
            </w:r>
          </w:p>
        </w:tc>
      </w:tr>
      <w:tr>
        <w:trPr/>
        <w:tc>
          <w:tcPr>
            <w:tcW w:w="34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 2026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20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107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2025</w:t>
            </w:r>
          </w:p>
        </w:tc>
        <w:tc>
          <w:tcPr>
            <w:tcW w:w="194" w:type="dxa"/>
            <w:tcBorders/>
            <w:shd w:fill="FFFFFF" w:val="clear"/>
            <w:vAlign w:val="center"/>
          </w:tcPr>
          <w:p>
            <w:pPr>
              <w:pStyle w:val="TableContents"/>
              <w:bidi w:val="0"/>
              <w:spacing w:before="0" w:after="283"/>
              <w:jc w:val="left"/>
              <w:rPr/>
            </w:pPr>
            <w:r>
              <w:rPr/>
              <w:t> </w:t>
            </w:r>
          </w:p>
        </w:tc>
      </w:tr>
      <w:tr>
        <w:trPr/>
        <w:tc>
          <w:tcPr>
            <w:tcW w:w="346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Return on average tangible common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6488" w:type="dxa"/>
            <w:gridSpan w:val="18"/>
            <w:tcBorders/>
            <w:shd w:fill="FFFFFF" w:val="clear"/>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(dollars in thousands)</w:t>
            </w:r>
          </w:p>
        </w:tc>
        <w:tc>
          <w:tcPr>
            <w:tcW w:w="194" w:type="dxa"/>
            <w:tcBorders/>
            <w:shd w:fill="FFFFFF" w:val="clear"/>
            <w:vAlign w:val="center"/>
          </w:tcPr>
          <w:p>
            <w:pPr>
              <w:pStyle w:val="TableContents"/>
              <w:bidi w:val="0"/>
              <w:spacing w:before="0" w:after="283"/>
              <w:jc w:val="left"/>
              <w:rPr/>
            </w:pPr>
            <w:r>
              <w:rPr/>
              <w:t> </w:t>
            </w:r>
          </w:p>
        </w:tc>
      </w:tr>
      <w:tr>
        <w:trPr/>
        <w:tc>
          <w:tcPr>
            <w:tcW w:w="346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available to common shareholders</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10,140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11,300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9,333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21,440</w:t>
            </w:r>
          </w:p>
        </w:tc>
        <w:tc>
          <w:tcPr>
            <w:tcW w:w="20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6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11,623</w:t>
            </w:r>
          </w:p>
        </w:tc>
        <w:tc>
          <w:tcPr>
            <w:tcW w:w="194" w:type="dxa"/>
            <w:tcBorders/>
            <w:shd w:fill="CCEEFF" w:val="clear"/>
            <w:vAlign w:val="center"/>
          </w:tcPr>
          <w:p>
            <w:pPr>
              <w:pStyle w:val="TableContents"/>
              <w:bidi w:val="0"/>
              <w:spacing w:before="0" w:after="283"/>
              <w:jc w:val="left"/>
              <w:rPr/>
            </w:pPr>
            <w:r>
              <w:rPr/>
              <w:t> </w:t>
            </w:r>
          </w:p>
        </w:tc>
      </w:tr>
      <w:tr>
        <w:trPr/>
        <w:tc>
          <w:tcPr>
            <w:tcW w:w="346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Average shareholders' equity</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9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532,409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529,382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9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513,691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9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530,903</w:t>
            </w:r>
          </w:p>
        </w:tc>
        <w:tc>
          <w:tcPr>
            <w:tcW w:w="20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9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512,981</w:t>
            </w:r>
          </w:p>
        </w:tc>
        <w:tc>
          <w:tcPr>
            <w:tcW w:w="194" w:type="dxa"/>
            <w:tcBorders/>
            <w:shd w:fill="FFFFFF" w:val="clear"/>
            <w:vAlign w:val="center"/>
          </w:tcPr>
          <w:p>
            <w:pPr>
              <w:pStyle w:val="TableContents"/>
              <w:bidi w:val="0"/>
              <w:spacing w:before="0" w:after="283"/>
              <w:jc w:val="left"/>
              <w:rPr/>
            </w:pPr>
            <w:r>
              <w:rPr/>
              <w:t> </w:t>
            </w:r>
          </w:p>
        </w:tc>
      </w:tr>
      <w:tr>
        <w:trPr/>
        <w:tc>
          <w:tcPr>
            <w:tcW w:w="346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r>
      <w:tr>
        <w:trPr/>
        <w:tc>
          <w:tcPr>
            <w:tcW w:w="3463"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Average goodwill</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9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(71,498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(71,498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9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(71,498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9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(71,498</w:t>
            </w:r>
          </w:p>
        </w:tc>
        <w:tc>
          <w:tcPr>
            <w:tcW w:w="20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9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(71,498</w:t>
            </w:r>
          </w:p>
        </w:tc>
        <w:tc>
          <w:tcPr>
            <w:tcW w:w="19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63"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Average core deposit intangible</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(1,224</w:t>
            </w:r>
          </w:p>
        </w:tc>
        <w:tc>
          <w:tcPr>
            <w:tcW w:w="20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CCEEFF" w:val="clear"/>
            <w:vAlign w:val="center"/>
          </w:tcPr>
          <w:p>
            <w:pPr>
              <w:pStyle w:val="TableContents"/>
              <w:bidi w:val="0"/>
              <w:spacing w:before="0" w:after="283"/>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(1,865</w:t>
            </w:r>
          </w:p>
        </w:tc>
        <w:tc>
          <w:tcPr>
            <w:tcW w:w="19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6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average tangible common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459,750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456,596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440,413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458,181</w:t>
            </w:r>
          </w:p>
        </w:tc>
        <w:tc>
          <w:tcPr>
            <w:tcW w:w="20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439,618</w:t>
            </w:r>
          </w:p>
        </w:tc>
        <w:tc>
          <w:tcPr>
            <w:tcW w:w="194" w:type="dxa"/>
            <w:tcBorders/>
            <w:shd w:fill="FFFFFF" w:val="clear"/>
            <w:vAlign w:val="center"/>
          </w:tcPr>
          <w:p>
            <w:pPr>
              <w:pStyle w:val="TableContents"/>
              <w:bidi w:val="0"/>
              <w:spacing w:before="0" w:after="283"/>
              <w:jc w:val="left"/>
              <w:rPr/>
            </w:pPr>
            <w:r>
              <w:rPr/>
              <w:t> </w:t>
            </w:r>
          </w:p>
        </w:tc>
      </w:tr>
      <w:tr>
        <w:trPr/>
        <w:tc>
          <w:tcPr>
            <w:tcW w:w="346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Return on average common equity, annualized</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9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9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9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8.14</w:t>
            </w:r>
          </w:p>
        </w:tc>
        <w:tc>
          <w:tcPr>
            <w:tcW w:w="20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9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4.57</w:t>
            </w:r>
          </w:p>
        </w:tc>
        <w:tc>
          <w:tcPr>
            <w:tcW w:w="19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6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Return on average tangible common equity, annualized</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9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9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9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9.44</w:t>
            </w:r>
          </w:p>
        </w:tc>
        <w:tc>
          <w:tcPr>
            <w:tcW w:w="20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9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w:t>
            </w:r>
          </w:p>
        </w:tc>
        <w:tc>
          <w:tcPr>
            <w:tcW w:w="19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i/>
          <w:caps w:val="false"/>
          <w:smallCaps w:val="false"/>
          <w:sz w:val="20"/>
        </w:rPr>
        <w:t>Pre-Tax Pre-Provision Income.</w:t>
      </w:r>
      <w:r>
        <w:rPr>
          <w:rFonts w:ascii="Times New Roman" w:hAnsi="Times New Roman"/>
          <w:caps w:val="false"/>
          <w:smallCaps w:val="false"/>
          <w:sz w:val="20"/>
        </w:rPr>
        <w:t xml:space="preserve"> Management believes that pre-tax pre-provision (“PTPP”) income is a useful measure for investors to evaluate core operating performance before taxes and excluding the credit provision expenses/(reversals). PTPP income is calculated by subtracting noninterest expense from the sum of net interest income and noninterest income, as shown in the following table.</w:t>
      </w:r>
    </w:p>
    <w:p>
      <w:pPr>
        <w:pStyle w:val="TextBody"/>
        <w:bidi w:val="0"/>
        <w:spacing w:before="0" w:after="0"/>
        <w:ind w:left="160" w:right="0" w:hanging="0"/>
        <w:jc w:val="both"/>
        <w:rPr>
          <w:caps w:val="false"/>
          <w:smallCaps w:val="false"/>
        </w:rPr>
      </w:pPr>
      <w:r>
        <w:rPr>
          <w:caps w:val="false"/>
          <w:smallCaps w:val="false"/>
        </w:rPr>
        <w:t> </w:t>
      </w:r>
    </w:p>
    <w:tbl>
      <w:tblPr>
        <w:tblW w:w="9542" w:type="dxa"/>
        <w:jc w:val="left"/>
        <w:tblInd w:w="0" w:type="dxa"/>
        <w:tblLayout w:type="fixed"/>
        <w:tblCellMar>
          <w:top w:w="0" w:type="dxa"/>
          <w:left w:w="0" w:type="dxa"/>
          <w:bottom w:w="0" w:type="dxa"/>
          <w:right w:w="0" w:type="dxa"/>
        </w:tblCellMar>
      </w:tblPr>
      <w:tblGrid>
        <w:gridCol w:w="2690"/>
        <w:gridCol w:w="60"/>
        <w:gridCol w:w="191"/>
        <w:gridCol w:w="998"/>
        <w:gridCol w:w="80"/>
        <w:gridCol w:w="60"/>
        <w:gridCol w:w="218"/>
        <w:gridCol w:w="1136"/>
        <w:gridCol w:w="80"/>
        <w:gridCol w:w="60"/>
        <w:gridCol w:w="191"/>
        <w:gridCol w:w="998"/>
        <w:gridCol w:w="80"/>
        <w:gridCol w:w="60"/>
        <w:gridCol w:w="191"/>
        <w:gridCol w:w="998"/>
        <w:gridCol w:w="104"/>
        <w:gridCol w:w="78"/>
        <w:gridCol w:w="191"/>
        <w:gridCol w:w="998"/>
        <w:gridCol w:w="80"/>
      </w:tblGrid>
      <w:tr>
        <w:trPr/>
        <w:tc>
          <w:tcPr>
            <w:tcW w:w="2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012"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Three Months Ended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6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Six Months Ended</w:t>
            </w:r>
          </w:p>
        </w:tc>
        <w:tc>
          <w:tcPr>
            <w:tcW w:w="80" w:type="dxa"/>
            <w:tcBorders/>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 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104"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2025</w:t>
            </w:r>
          </w:p>
        </w:tc>
        <w:tc>
          <w:tcPr>
            <w:tcW w:w="80" w:type="dxa"/>
            <w:tcBorders/>
            <w:vAlign w:val="center"/>
          </w:tcPr>
          <w:p>
            <w:pPr>
              <w:pStyle w:val="TableContents"/>
              <w:bidi w:val="0"/>
              <w:spacing w:before="0" w:after="283"/>
              <w:jc w:val="left"/>
              <w:rPr/>
            </w:pPr>
            <w:r>
              <w:rPr/>
              <w:t> </w:t>
            </w:r>
          </w:p>
        </w:tc>
      </w:tr>
      <w:tr>
        <w:trPr/>
        <w:tc>
          <w:tcPr>
            <w:tcW w:w="269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Pre-Tax Pre-Provision Income:</w:t>
            </w:r>
          </w:p>
        </w:tc>
        <w:tc>
          <w:tcPr>
            <w:tcW w:w="60" w:type="dxa"/>
            <w:tcBorders/>
            <w:vAlign w:val="center"/>
          </w:tcPr>
          <w:p>
            <w:pPr>
              <w:pStyle w:val="TableContents"/>
              <w:bidi w:val="0"/>
              <w:spacing w:before="0" w:after="283"/>
              <w:ind w:left="0" w:right="0" w:hanging="0"/>
              <w:jc w:val="left"/>
              <w:rPr/>
            </w:pPr>
            <w:r>
              <w:rPr/>
              <w:t> </w:t>
            </w:r>
          </w:p>
        </w:tc>
        <w:tc>
          <w:tcPr>
            <w:tcW w:w="6712" w:type="dxa"/>
            <w:gridSpan w:val="18"/>
            <w:tcBorders/>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(dollars in thousands)</w:t>
            </w:r>
          </w:p>
        </w:tc>
        <w:tc>
          <w:tcPr>
            <w:tcW w:w="80" w:type="dxa"/>
            <w:tcBorders/>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interest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60,589</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19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53,497</w:t>
            </w:r>
          </w:p>
        </w:tc>
        <w:tc>
          <w:tcPr>
            <w:tcW w:w="80"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Noninterest income</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9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1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9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9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7,269</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9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10,773</w:t>
            </w:r>
          </w:p>
        </w:tc>
        <w:tc>
          <w:tcPr>
            <w:tcW w:w="80"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Noninterest expense</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(19,022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(19,258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(20,493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(38,280</w:t>
            </w:r>
          </w:p>
        </w:tc>
        <w:tc>
          <w:tcPr>
            <w:tcW w:w="1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CCEEFF" w:val="clear"/>
            <w:vAlign w:val="center"/>
          </w:tcPr>
          <w:p>
            <w:pPr>
              <w:pStyle w:val="TableContents"/>
              <w:bidi w:val="0"/>
              <w:spacing w:before="0" w:after="283"/>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(39,015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Pre-tax pre-provision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29,578</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25,255</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56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7705" w:type="dxa"/>
        <w:jc w:val="left"/>
        <w:tblInd w:w="0" w:type="dxa"/>
        <w:tblLayout w:type="fixed"/>
        <w:tblCellMar>
          <w:top w:w="0" w:type="dxa"/>
          <w:left w:w="0" w:type="dxa"/>
          <w:bottom w:w="0" w:type="dxa"/>
          <w:right w:w="0" w:type="dxa"/>
        </w:tblCellMar>
      </w:tblPr>
      <w:tblGrid>
        <w:gridCol w:w="740"/>
        <w:gridCol w:w="6965"/>
      </w:tblGrid>
      <w:tr>
        <w:trPr/>
        <w:tc>
          <w:tcPr>
            <w:tcW w:w="74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bookmarkStart w:id="13" w:name="Item3_QQ"/>
            <w:bookmarkEnd w:id="13"/>
            <w:r>
              <w:rPr>
                <w:rFonts w:ascii="Times New Roman" w:hAnsi="Times New Roman"/>
                <w:b/>
                <w:caps w:val="false"/>
                <w:smallCaps w:val="false"/>
                <w:sz w:val="20"/>
              </w:rPr>
              <w:t>ITEM 3.</w:t>
            </w:r>
          </w:p>
        </w:tc>
        <w:tc>
          <w:tcPr>
            <w:tcW w:w="696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QUANTITATIVE AND QUALITATIVE DISCLOSURES ABOUT MARKET RISK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Market Risk</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caps w:val="false"/>
          <w:smallCaps w:val="false"/>
        </w:rPr>
      </w:pPr>
      <w:r>
        <w:rPr>
          <w:caps w:val="false"/>
          <w:smallCaps w:val="false"/>
        </w:rPr>
        <w:t> </w:t>
      </w:r>
      <w:r>
        <w:rPr>
          <w:rFonts w:ascii="Times New Roman" w:hAnsi="Times New Roman"/>
          <w:caps w:val="false"/>
          <w:smallCaps w:val="false"/>
          <w:sz w:val="20"/>
        </w:rPr>
        <w:t>Market risk represents the risk of loss due to changes in market values of assets and liabilities. We incur market risk in the normal course of business through exposures to market interest rates, equity prices, and credit spreads. We have identified three primary sources of market risk: interest rate risk, price risk and basis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i/>
          <w:caps w:val="false"/>
          <w:smallCaps w:val="false"/>
          <w:sz w:val="20"/>
        </w:rPr>
        <w:t>Interest Rate Risk.</w:t>
      </w:r>
      <w:r>
        <w:rPr>
          <w:rFonts w:ascii="Times New Roman" w:hAnsi="Times New Roman"/>
          <w:caps w:val="false"/>
          <w:smallCaps w:val="false"/>
          <w:sz w:val="20"/>
        </w:rPr>
        <w:t> Interest rate risk is the risk to earnings and value arising from changes in market interest rates. Interest rate risk arises from timing differences in the repricing and maturities of interest-earning assets and interest-bearing liabilities (repricing risk), changes in the expected maturities of assets and liabilities arising from embedded options, such as borrowers’ ability to prepay residential mortgage loans at any time and depositors’ ability to redeem certificates of deposit before maturity (option risk), changes in the shape of the yield curve where interest rates increase or decrease in a nonparallel fashion (yield curve risk), and changes in spread relationships between different yield curves, such as U.S. Treasuries and SOFR (basis risk).</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i/>
          <w:caps w:val="false"/>
          <w:smallCaps w:val="false"/>
          <w:sz w:val="20"/>
        </w:rPr>
        <w:t>Price Risk.</w:t>
      </w:r>
      <w:r>
        <w:rPr>
          <w:rFonts w:ascii="Times New Roman" w:hAnsi="Times New Roman"/>
          <w:caps w:val="false"/>
          <w:smallCaps w:val="false"/>
          <w:sz w:val="20"/>
        </w:rPr>
        <w:t> Price risk represents the risk of loss arising from adverse movements in the prices of financial instruments that are carried at fair value and subject to fair value accounting. We have price risk primarily from SFR mortgage loans held for sale and fixed-rate available for sale securities.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i/>
          <w:caps w:val="false"/>
          <w:smallCaps w:val="false"/>
          <w:sz w:val="20"/>
        </w:rPr>
        <w:t>Basis Risk.</w:t>
      </w:r>
      <w:r>
        <w:rPr>
          <w:rFonts w:ascii="Times New Roman" w:hAnsi="Times New Roman"/>
          <w:caps w:val="false"/>
          <w:smallCaps w:val="false"/>
          <w:sz w:val="20"/>
        </w:rPr>
        <w:t> Basis risk represents the risk of loss arising from asset and liability pricing movements not changing in the same direction. We have basis risk primarily in the SFR mortgage loan portfolio, the multifamily loan portfolio and our securities portfolio.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ALCO establishes broad policy limits with respect to interest rate risk. The ALCO establishes specific operating guidelines within the parameters of the board of directors’ policies. In general, we seek to minimize the impact of changing interest rates on net interest income and the economic values of assets and liabilities. The ALCO monitors the level of interest rate risk sensitivity to ensure compliance with the board of directors’ approved risk limits and to oversee management's balance sheet risk management strategies.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Interest rate risk management is an active process that encompasses monitoring loan and deposit flows complemented by investment and funding activities. Effective management of interest rate risk begins with understanding the dynamic characteristics of assets and liabilities and determining the appropriate interest rate risk posture given business forecasts, management objectives, market expectations, and policy constraints.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An asset sensitive position refers to a balance sheet position in which a short-term decrease in interest rates is expected to generate lower net interest income, as rates earned on interest-earning assets would reprice downward more quickly than rates paid on interest-bearing liabilities, thus compressing the net interest margin. Conversely, a liability sensitive position refers to a balance sheet position in which a short-term decrease in interest rates is expected to generate higher net interest income, as rates paid on interest-bearing liabilities would reprice downward more quickly than rates earned on interest-earning assets, thus expanding the net interest margin.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i/>
          <w:caps w:val="false"/>
          <w:smallCaps w:val="false"/>
          <w:sz w:val="20"/>
        </w:rPr>
        <w:t>Income Simulation and Economic Value Analysis.</w:t>
      </w:r>
      <w:r>
        <w:rPr>
          <w:rFonts w:ascii="Times New Roman" w:hAnsi="Times New Roman"/>
          <w:caps w:val="false"/>
          <w:smallCaps w:val="false"/>
          <w:sz w:val="20"/>
        </w:rPr>
        <w:t> Interest rate risk measurement is calculated and reported to the board and the ALCO at least quarterly. The information reported includes period-end results and identifies any policy limits exceeded, along with an assessment of the policy limit breach and the action plan and timeline for resolution, mitigation, or assumption of the risk.</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use two approaches to model interest rate risk: Net Interest Income at Risk ("NII at Risk"), and Economic Value of Equity (“EVE”). Under NII at Risk, net interest income is modeled utilizing various assumptions for assets, liabilities, and derivatives over a 12 month time horizon assuming a flat balance sheet and an instantaneous and parallel shift in market interest rates in 100 basis point increments. We report NII at Risk to isolate the change in income related solely to interest-earning assets and interest-bearing liabilities. The model results do not take into consideration any steps management might take to respond to the changes in interest rates or changes in competitor or customer behavior. EVE measures the period end market value of assets minus the market value of liabilities and the change in this value as rates change. EVE is a period end measurement.</w:t>
      </w:r>
    </w:p>
    <w:p>
      <w:pPr>
        <w:pStyle w:val="TextBody"/>
        <w:bidi w:val="0"/>
        <w:spacing w:before="0" w:after="0"/>
        <w:ind w:left="0" w:right="0" w:firstLine="540"/>
        <w:jc w:val="both"/>
        <w:rPr>
          <w:caps w:val="false"/>
          <w:smallCaps w:val="false"/>
        </w:rPr>
      </w:pPr>
      <w:r>
        <w:rPr>
          <w:caps w:val="false"/>
          <w:smallCaps w:val="false"/>
        </w:rPr>
        <w:t> </w:t>
      </w:r>
    </w:p>
    <w:tbl>
      <w:tblPr>
        <w:tblW w:w="7190" w:type="dxa"/>
        <w:jc w:val="left"/>
        <w:tblInd w:w="0" w:type="dxa"/>
        <w:tblLayout w:type="fixed"/>
        <w:tblCellMar>
          <w:top w:w="0" w:type="dxa"/>
          <w:left w:w="0" w:type="dxa"/>
          <w:bottom w:w="0" w:type="dxa"/>
          <w:right w:w="0" w:type="dxa"/>
        </w:tblCellMar>
      </w:tblPr>
      <w:tblGrid>
        <w:gridCol w:w="1595"/>
        <w:gridCol w:w="60"/>
        <w:gridCol w:w="125"/>
        <w:gridCol w:w="590"/>
        <w:gridCol w:w="185"/>
        <w:gridCol w:w="60"/>
        <w:gridCol w:w="125"/>
        <w:gridCol w:w="485"/>
        <w:gridCol w:w="185"/>
        <w:gridCol w:w="60"/>
        <w:gridCol w:w="125"/>
        <w:gridCol w:w="485"/>
        <w:gridCol w:w="185"/>
        <w:gridCol w:w="60"/>
        <w:gridCol w:w="125"/>
        <w:gridCol w:w="545"/>
        <w:gridCol w:w="245"/>
        <w:gridCol w:w="60"/>
        <w:gridCol w:w="125"/>
        <w:gridCol w:w="545"/>
        <w:gridCol w:w="245"/>
        <w:gridCol w:w="60"/>
        <w:gridCol w:w="125"/>
        <w:gridCol w:w="545"/>
        <w:gridCol w:w="245"/>
      </w:tblGrid>
      <w:tr>
        <w:trPr/>
        <w:tc>
          <w:tcPr>
            <w:tcW w:w="15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90" w:type="dxa"/>
            <w:gridSpan w:val="2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Interest Income At Risk</w:t>
            </w:r>
          </w:p>
        </w:tc>
        <w:tc>
          <w:tcPr>
            <w:tcW w:w="245" w:type="dxa"/>
            <w:tcBorders/>
            <w:shd w:fill="FFFFFF" w:val="clear"/>
            <w:vAlign w:val="center"/>
          </w:tcPr>
          <w:p>
            <w:pPr>
              <w:pStyle w:val="TableContents"/>
              <w:bidi w:val="0"/>
              <w:spacing w:before="0" w:after="283"/>
              <w:jc w:val="left"/>
              <w:rPr/>
            </w:pPr>
            <w:r>
              <w:rPr/>
              <w:t> </w:t>
            </w:r>
          </w:p>
        </w:tc>
      </w:tr>
      <w:tr>
        <w:trPr/>
        <w:tc>
          <w:tcPr>
            <w:tcW w:w="15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90"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Immediate Change in Rates</w:t>
            </w:r>
          </w:p>
        </w:tc>
        <w:tc>
          <w:tcPr>
            <w:tcW w:w="2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159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-300</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-200</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c>
          <w:tcPr>
            <w:tcW w:w="24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+200</w:t>
            </w:r>
          </w:p>
        </w:tc>
        <w:tc>
          <w:tcPr>
            <w:tcW w:w="24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+300</w:t>
            </w:r>
          </w:p>
        </w:tc>
        <w:tc>
          <w:tcPr>
            <w:tcW w:w="245" w:type="dxa"/>
            <w:tcBorders/>
            <w:shd w:fill="FFFFFF" w:val="clear"/>
            <w:vAlign w:val="center"/>
          </w:tcPr>
          <w:p>
            <w:pPr>
              <w:pStyle w:val="TableContents"/>
              <w:bidi w:val="0"/>
              <w:spacing w:before="0" w:after="0"/>
              <w:jc w:val="left"/>
              <w:rPr/>
            </w:pPr>
            <w:r>
              <w:rPr/>
              <w:t> </w:t>
            </w:r>
          </w:p>
        </w:tc>
      </w:tr>
      <w:tr>
        <w:trPr/>
        <w:tc>
          <w:tcPr>
            <w:tcW w:w="15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June 30, 2026</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165" w:type="dxa"/>
            <w:gridSpan w:val="21"/>
            <w:tcBorders/>
            <w:shd w:fill="FFFFFF" w:val="clear"/>
            <w:vAlign w:val="center"/>
          </w:tcPr>
          <w:p>
            <w:pPr>
              <w:pStyle w:val="TableContents"/>
              <w:bidi w:val="0"/>
              <w:spacing w:before="0" w:after="283"/>
              <w:jc w:val="center"/>
              <w:rPr>
                <w:rFonts w:ascii="Times New Roman;Times;serif" w:hAnsi="Times New Roman;Times;serif"/>
                <w:b/>
                <w:i/>
                <w:sz w:val="20"/>
              </w:rPr>
            </w:pPr>
            <w:r>
              <w:rPr>
                <w:rFonts w:ascii="Times New Roman;Times;serif" w:hAnsi="Times New Roman;Times;serif"/>
                <w:b/>
                <w:i/>
                <w:sz w:val="20"/>
              </w:rPr>
              <w:t>(dollars in thousands)</w:t>
            </w:r>
          </w:p>
        </w:tc>
        <w:tc>
          <w:tcPr>
            <w:tcW w:w="245" w:type="dxa"/>
            <w:tcBorders/>
            <w:shd w:fill="FFFFFF" w:val="clear"/>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Dollar change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5,767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1,720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(2,101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(4,133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(6,584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Percent change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0.89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December 31, 2025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15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Dollar change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11,201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(8,440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Percent change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At June 30, 2026, our NII at Risk profile is liability sensitive. This is directionally consistent, but a less liability sensitive profile, as compared with December 31, 2025. Actual results could vary materially from those calculated by our model, due to a variety of factors or assumptions such as the uncertainty of the magnitude, timing and direction of future interest rate movement or the shape of the yield curve. The NII at Risk results are within board policy limits.</w:t>
      </w:r>
    </w:p>
    <w:p>
      <w:pPr>
        <w:pStyle w:val="TextBody"/>
        <w:bidi w:val="0"/>
        <w:spacing w:before="0" w:after="0"/>
        <w:ind w:left="0" w:right="0" w:hanging="0"/>
        <w:jc w:val="left"/>
        <w:rPr>
          <w:caps w:val="false"/>
          <w:smallCaps w:val="false"/>
        </w:rPr>
      </w:pPr>
      <w:r>
        <w:rPr>
          <w:caps w:val="false"/>
          <w:smallCaps w:val="false"/>
        </w:rPr>
        <w:t> </w:t>
      </w:r>
    </w:p>
    <w:tbl>
      <w:tblPr>
        <w:tblW w:w="7625" w:type="dxa"/>
        <w:jc w:val="left"/>
        <w:tblInd w:w="0" w:type="dxa"/>
        <w:tblLayout w:type="fixed"/>
        <w:tblCellMar>
          <w:top w:w="0" w:type="dxa"/>
          <w:left w:w="0" w:type="dxa"/>
          <w:bottom w:w="0" w:type="dxa"/>
          <w:right w:w="0" w:type="dxa"/>
        </w:tblCellMar>
      </w:tblPr>
      <w:tblGrid>
        <w:gridCol w:w="1595"/>
        <w:gridCol w:w="60"/>
        <w:gridCol w:w="125"/>
        <w:gridCol w:w="650"/>
        <w:gridCol w:w="245"/>
        <w:gridCol w:w="60"/>
        <w:gridCol w:w="125"/>
        <w:gridCol w:w="485"/>
        <w:gridCol w:w="185"/>
        <w:gridCol w:w="60"/>
        <w:gridCol w:w="125"/>
        <w:gridCol w:w="485"/>
        <w:gridCol w:w="185"/>
        <w:gridCol w:w="60"/>
        <w:gridCol w:w="125"/>
        <w:gridCol w:w="650"/>
        <w:gridCol w:w="245"/>
        <w:gridCol w:w="60"/>
        <w:gridCol w:w="125"/>
        <w:gridCol w:w="650"/>
        <w:gridCol w:w="245"/>
        <w:gridCol w:w="60"/>
        <w:gridCol w:w="125"/>
        <w:gridCol w:w="650"/>
        <w:gridCol w:w="245"/>
      </w:tblGrid>
      <w:tr>
        <w:trPr/>
        <w:tc>
          <w:tcPr>
            <w:tcW w:w="15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725" w:type="dxa"/>
            <w:gridSpan w:val="2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Economic Value of Equity</w:t>
            </w:r>
          </w:p>
        </w:tc>
        <w:tc>
          <w:tcPr>
            <w:tcW w:w="245" w:type="dxa"/>
            <w:tcBorders/>
            <w:shd w:fill="FFFFFF" w:val="clear"/>
            <w:vAlign w:val="center"/>
          </w:tcPr>
          <w:p>
            <w:pPr>
              <w:pStyle w:val="TableContents"/>
              <w:bidi w:val="0"/>
              <w:spacing w:before="0" w:after="283"/>
              <w:jc w:val="left"/>
              <w:rPr/>
            </w:pPr>
            <w:r>
              <w:rPr/>
              <w:t> </w:t>
            </w:r>
          </w:p>
        </w:tc>
      </w:tr>
      <w:tr>
        <w:trPr/>
        <w:tc>
          <w:tcPr>
            <w:tcW w:w="15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725"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Immediate Change in Rates</w:t>
            </w:r>
          </w:p>
        </w:tc>
        <w:tc>
          <w:tcPr>
            <w:tcW w:w="2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159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-300</w:t>
            </w:r>
          </w:p>
        </w:tc>
        <w:tc>
          <w:tcPr>
            <w:tcW w:w="245"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center"/>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-200</w:t>
            </w:r>
          </w:p>
        </w:tc>
        <w:tc>
          <w:tcPr>
            <w:tcW w:w="185"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center"/>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-100</w:t>
            </w:r>
          </w:p>
        </w:tc>
        <w:tc>
          <w:tcPr>
            <w:tcW w:w="185"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center"/>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+100</w:t>
            </w:r>
          </w:p>
        </w:tc>
        <w:tc>
          <w:tcPr>
            <w:tcW w:w="245"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center"/>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+200</w:t>
            </w:r>
          </w:p>
        </w:tc>
        <w:tc>
          <w:tcPr>
            <w:tcW w:w="245"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center"/>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+300</w:t>
            </w:r>
          </w:p>
        </w:tc>
        <w:tc>
          <w:tcPr>
            <w:tcW w:w="245" w:type="dxa"/>
            <w:tcBorders/>
            <w:shd w:fill="FFFFFF" w:val="clear"/>
            <w:vAlign w:val="center"/>
          </w:tcPr>
          <w:p>
            <w:pPr>
              <w:pStyle w:val="TableContents"/>
              <w:bidi w:val="0"/>
              <w:spacing w:before="0" w:after="0"/>
              <w:jc w:val="left"/>
              <w:rPr/>
            </w:pPr>
            <w:r>
              <w:rPr/>
              <w:t> </w:t>
            </w:r>
          </w:p>
        </w:tc>
      </w:tr>
      <w:tr>
        <w:trPr/>
        <w:tc>
          <w:tcPr>
            <w:tcW w:w="15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June 30, 2026</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600" w:type="dxa"/>
            <w:gridSpan w:val="21"/>
            <w:tcBorders/>
            <w:shd w:fill="FFFFFF" w:val="clear"/>
            <w:vAlign w:val="center"/>
          </w:tcPr>
          <w:p>
            <w:pPr>
              <w:pStyle w:val="TableContents"/>
              <w:bidi w:val="0"/>
              <w:spacing w:before="0" w:after="283"/>
              <w:jc w:val="center"/>
              <w:rPr>
                <w:rFonts w:ascii="Times New Roman;Times;serif" w:hAnsi="Times New Roman;Times;serif"/>
                <w:b/>
                <w:i/>
                <w:sz w:val="20"/>
              </w:rPr>
            </w:pPr>
            <w:r>
              <w:rPr>
                <w:rFonts w:ascii="Times New Roman;Times;serif" w:hAnsi="Times New Roman;Times;serif"/>
                <w:b/>
                <w:i/>
                <w:sz w:val="20"/>
              </w:rPr>
              <w:t>(dollars in thousands)</w:t>
            </w:r>
          </w:p>
        </w:tc>
        <w:tc>
          <w:tcPr>
            <w:tcW w:w="245" w:type="dxa"/>
            <w:tcBorders/>
            <w:shd w:fill="FFFFFF" w:val="clear"/>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Dollar change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(56,969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5,355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5,795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(15,021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(31,993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(54,315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Percent change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0.73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0.79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(2.04</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95" w:type="dxa"/>
            <w:tcBorders/>
            <w:shd w:fill="CCEEFF" w:val="clear"/>
            <w:vAlign w:val="center"/>
          </w:tcPr>
          <w:p>
            <w:pPr>
              <w:pStyle w:val="TableContents"/>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December 31, 2025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15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Dollar change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(48,495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7,557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(18,774</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(39,714</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(64,688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Percent change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At June 30, 2026, the EVE position is projected to decrease in the up rate scenarios and down 300 rate scenario. When interest rates rise, fixed rate assets generally lose economic value as these instruments are discounted at a higher rate demonstrating the relative longer asset duration as compared to the overall liability duration. When interest rates decrease, the value of noninterest-bearing deposits also decreases. In addition, as the down rate shocks become more severe, the pace of the increase in the value of loans also slows due to an increase in loan prepayments and the impact of discount rates reaching their floors; this results in a change of EVE volatility from positive to negative between the down 200 and 300 scenarios. Actual results could vary materially from those calculated by our model, due to a variety of factors or assumptions such as the uncertainty of the magnitude, timing and direction of future interest rate movement or the shape of the yield curve. The EVE results are within board policy limits.</w:t>
      </w:r>
    </w:p>
    <w:p>
      <w:pPr>
        <w:pStyle w:val="TextBody"/>
        <w:bidi w:val="0"/>
        <w:spacing w:before="0" w:after="0"/>
        <w:ind w:left="0" w:right="0" w:hanging="0"/>
        <w:jc w:val="left"/>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740"/>
        <w:gridCol w:w="2915"/>
      </w:tblGrid>
      <w:tr>
        <w:trPr/>
        <w:tc>
          <w:tcPr>
            <w:tcW w:w="74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bookmarkStart w:id="14" w:name="Item4_Controls"/>
            <w:bookmarkEnd w:id="14"/>
            <w:r>
              <w:rPr>
                <w:rFonts w:ascii="Times New Roman" w:hAnsi="Times New Roman"/>
                <w:b/>
                <w:caps w:val="false"/>
                <w:smallCaps w:val="false"/>
                <w:sz w:val="20"/>
              </w:rPr>
              <w:t>ITEM 4.</w:t>
            </w:r>
          </w:p>
        </w:tc>
        <w:tc>
          <w:tcPr>
            <w:tcW w:w="291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CONTROLS AND PROCEDURES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u w:val="single"/>
        </w:rPr>
        <w:t>Evaluation of Disclosure Controls and Procedures</w:t>
      </w:r>
      <w:r>
        <w:rPr>
          <w:rFonts w:ascii="Times New Roman" w:hAnsi="Times New Roman"/>
          <w:i/>
          <w:caps w:val="false"/>
          <w:smallCaps w:val="false"/>
          <w:sz w:val="20"/>
        </w:rPr>
        <w:t>.</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Company’s management, including our principal executive officer and principal financial officer, have evaluated the effectiveness of our “disclosure controls and procedures” (as defined in Rule 13a-15(e) under the Exchange Act), as of the end of the period covered by this Form 10-Q. Based on this evaluation, our principal executive officer and principal financial officer have concluded that, as of June 30, 2026, our disclosure controls and procedures were effective.</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u w:val="single"/>
        </w:rPr>
        <w:t>Changes in Internal Controls Over Financial Reporting</w:t>
      </w:r>
      <w:r>
        <w:rPr>
          <w:rFonts w:ascii="Times New Roman" w:hAnsi="Times New Roman"/>
          <w:caps w:val="false"/>
          <w:smallCaps w:val="false"/>
          <w:sz w:val="20"/>
        </w:rPr>
        <w:t>.</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There have not been any changes in the Company’s internal control over financial reporting (as such term is defined in Rule 13a-15(f) under the Exchange Act) during the fiscal quarter to which this Form 10-Q relates that have materially affected, or are reasonably likely to materially affect, the Company’s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58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15" w:name="Part_2"/>
      <w:bookmarkEnd w:id="15"/>
      <w:r>
        <w:rPr>
          <w:rFonts w:ascii="Times New Roman" w:hAnsi="Times New Roman"/>
          <w:b/>
          <w:caps w:val="false"/>
          <w:smallCaps w:val="false"/>
          <w:sz w:val="20"/>
        </w:rPr>
        <w:t>PART II - OTHER INFORMATION</w:t>
      </w:r>
    </w:p>
    <w:p>
      <w:pPr>
        <w:pStyle w:val="TextBody"/>
        <w:bidi w:val="0"/>
        <w:spacing w:before="0" w:after="0"/>
        <w:ind w:left="0" w:right="0" w:hanging="0"/>
        <w:jc w:val="left"/>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740"/>
        <w:gridCol w:w="2165"/>
      </w:tblGrid>
      <w:tr>
        <w:trPr/>
        <w:tc>
          <w:tcPr>
            <w:tcW w:w="74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bookmarkStart w:id="16" w:name="Item1_Legal"/>
            <w:bookmarkEnd w:id="16"/>
            <w:r>
              <w:rPr>
                <w:rFonts w:ascii="Times New Roman" w:hAnsi="Times New Roman"/>
                <w:b/>
                <w:caps w:val="false"/>
                <w:smallCaps w:val="false"/>
                <w:sz w:val="20"/>
              </w:rPr>
              <w:t>ITEM 1.</w:t>
            </w:r>
          </w:p>
        </w:tc>
        <w:tc>
          <w:tcPr>
            <w:tcW w:w="216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LEGAL PROCEEDINGS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There are no material pending legal proceedings, other than ordinary routine litigation incidental to our business. Management believes that none of the legal proceedings occurring in the ordinary course of business, individually or in the aggregate, will have a material adverse impact on the results of operations or financial condition of the Company.</w:t>
      </w:r>
    </w:p>
    <w:p>
      <w:pPr>
        <w:pStyle w:val="TextBody"/>
        <w:bidi w:val="0"/>
        <w:spacing w:before="0" w:after="0"/>
        <w:ind w:left="0" w:right="0" w:hanging="0"/>
        <w:jc w:val="left"/>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875"/>
        <w:gridCol w:w="1445"/>
      </w:tblGrid>
      <w:tr>
        <w:trPr/>
        <w:tc>
          <w:tcPr>
            <w:tcW w:w="87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bookmarkStart w:id="17" w:name="Item1A_Risk"/>
            <w:bookmarkEnd w:id="17"/>
            <w:r>
              <w:rPr>
                <w:rFonts w:ascii="Times New Roman" w:hAnsi="Times New Roman"/>
                <w:b/>
                <w:caps w:val="false"/>
                <w:smallCaps w:val="false"/>
                <w:sz w:val="20"/>
              </w:rPr>
              <w:t>ITEM 1A.</w:t>
            </w:r>
          </w:p>
        </w:tc>
        <w:tc>
          <w:tcPr>
            <w:tcW w:w="144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 FACTORS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 xml:space="preserve">There have been no material changes to the risk factors previously disclosed in Part I, </w:t>
      </w:r>
      <w:r>
        <w:rPr>
          <w:rFonts w:ascii="Times New Roman" w:hAnsi="Times New Roman"/>
          <w:i/>
          <w:caps w:val="false"/>
          <w:smallCaps w:val="false"/>
          <w:sz w:val="20"/>
        </w:rPr>
        <w:t>Item 1A. "Risk Factors"</w:t>
      </w:r>
      <w:r>
        <w:rPr>
          <w:rFonts w:ascii="Times New Roman" w:hAnsi="Times New Roman"/>
          <w:caps w:val="false"/>
          <w:smallCaps w:val="false"/>
          <w:sz w:val="20"/>
        </w:rPr>
        <w:t xml:space="preserve"> of our 2025 Annual Report. The materiality of any risks and uncertainties identified in our Forward Looking Statements contained in this Report or those that are presently unforeseen could result in significant adverse effects on our financial condition, results of operations and cash flows. See Part I, Item 2 for “</w:t>
      </w:r>
      <w:r>
        <w:rPr>
          <w:rFonts w:ascii="Times New Roman" w:hAnsi="Times New Roman"/>
          <w:i/>
          <w:caps w:val="false"/>
          <w:smallCaps w:val="false"/>
          <w:sz w:val="20"/>
        </w:rPr>
        <w:t>Management’s Discussion and Analysis of Financial Condition and Results of Operations</w:t>
      </w:r>
      <w:r>
        <w:rPr>
          <w:rFonts w:ascii="Times New Roman" w:hAnsi="Times New Roman"/>
          <w:caps w:val="false"/>
          <w:smallCaps w:val="false"/>
          <w:sz w:val="20"/>
        </w:rPr>
        <w:t>” in this Report.</w:t>
      </w:r>
    </w:p>
    <w:p>
      <w:pPr>
        <w:pStyle w:val="TextBody"/>
        <w:bidi w:val="0"/>
        <w:spacing w:before="0" w:after="0"/>
        <w:ind w:left="0" w:right="0" w:firstLine="540"/>
        <w:jc w:val="left"/>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740"/>
        <w:gridCol w:w="6845"/>
      </w:tblGrid>
      <w:tr>
        <w:trPr/>
        <w:tc>
          <w:tcPr>
            <w:tcW w:w="74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bookmarkStart w:id="18" w:name="Item2_Unreg"/>
            <w:bookmarkEnd w:id="18"/>
            <w:r>
              <w:rPr>
                <w:rFonts w:ascii="Times New Roman" w:hAnsi="Times New Roman"/>
                <w:b/>
                <w:caps w:val="false"/>
                <w:smallCaps w:val="false"/>
                <w:sz w:val="20"/>
              </w:rPr>
              <w:t>ITEM 2.</w:t>
            </w:r>
          </w:p>
        </w:tc>
        <w:tc>
          <w:tcPr>
            <w:tcW w:w="684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UNREGISTERED SALES OF EQUITY SECURITIES AND USE OF PROCEEDS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On May 29, 2025, the Company announced a stock repurchase plan providing for the repurchase of up to $18.0 million of the Company's outstanding common stock. The Company repurchased 163,500 shares under this plan in the second quarter of 2026. These repurchases effectively exhausted this plan, which expired on June 30, 2026. On June 15, 2026, the Company announced the Board of Directors authorized a new stock repurchase plan for up to 1 million shares of the Company's outstanding common stock through June 30, 2028. The Company repurchased 17,076 shares under this plan in the second quarter of 2026.</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During the second quarter of 2026, the Company repurchased an aggregate total of 180,576 shares of common stock, at an average price of $24.65 per share, pursuant to the Company's stock repurchase plans.</w:t>
      </w:r>
    </w:p>
    <w:p>
      <w:pPr>
        <w:pStyle w:val="TextBody"/>
        <w:bidi w:val="0"/>
        <w:spacing w:before="0" w:after="0"/>
        <w:ind w:left="540" w:right="0" w:hanging="0"/>
        <w:jc w:val="left"/>
        <w:rPr>
          <w:caps w:val="false"/>
          <w:smallCaps w:val="false"/>
        </w:rPr>
      </w:pPr>
      <w:r>
        <w:rPr>
          <w:caps w:val="false"/>
          <w:smallCaps w:val="false"/>
        </w:rPr>
        <w:t> </w:t>
      </w:r>
    </w:p>
    <w:p>
      <w:pPr>
        <w:pStyle w:val="TextBody"/>
        <w:bidi w:val="0"/>
        <w:spacing w:before="0" w:after="0"/>
        <w:ind w:left="54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48"/>
        <w:gridCol w:w="60"/>
        <w:gridCol w:w="123"/>
        <w:gridCol w:w="1447"/>
        <w:gridCol w:w="60"/>
        <w:gridCol w:w="60"/>
        <w:gridCol w:w="269"/>
        <w:gridCol w:w="1050"/>
        <w:gridCol w:w="60"/>
        <w:gridCol w:w="60"/>
        <w:gridCol w:w="203"/>
        <w:gridCol w:w="2383"/>
        <w:gridCol w:w="60"/>
        <w:gridCol w:w="60"/>
        <w:gridCol w:w="523"/>
        <w:gridCol w:w="2475"/>
        <w:gridCol w:w="64"/>
      </w:tblGrid>
      <w:tr>
        <w:trPr/>
        <w:tc>
          <w:tcPr>
            <w:tcW w:w="12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33"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Issuer Purchases of Equity Securities</w:t>
            </w:r>
          </w:p>
        </w:tc>
        <w:tc>
          <w:tcPr>
            <w:tcW w:w="64" w:type="dxa"/>
            <w:tcBorders/>
            <w:shd w:fill="FFFFFF" w:val="clear"/>
            <w:vAlign w:val="center"/>
          </w:tcPr>
          <w:p>
            <w:pPr>
              <w:pStyle w:val="TableContents"/>
              <w:bidi w:val="0"/>
              <w:spacing w:before="0" w:after="283"/>
              <w:jc w:val="left"/>
              <w:rPr/>
            </w:pPr>
            <w:r>
              <w:rPr/>
              <w:t> </w:t>
            </w:r>
          </w:p>
        </w:tc>
      </w:tr>
      <w:tr>
        <w:trPr/>
        <w:tc>
          <w:tcPr>
            <w:tcW w:w="12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86"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98"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w:t>
            </w:r>
          </w:p>
        </w:tc>
        <w:tc>
          <w:tcPr>
            <w:tcW w:w="64" w:type="dxa"/>
            <w:tcBorders/>
            <w:shd w:fill="FFFFFF" w:val="clear"/>
            <w:vAlign w:val="center"/>
          </w:tcPr>
          <w:p>
            <w:pPr>
              <w:pStyle w:val="TableContents"/>
              <w:bidi w:val="0"/>
              <w:spacing w:before="0" w:after="283"/>
              <w:jc w:val="left"/>
              <w:rPr/>
            </w:pPr>
            <w:r>
              <w:rPr/>
              <w:t> </w:t>
            </w:r>
          </w:p>
        </w:tc>
      </w:tr>
      <w:tr>
        <w:trPr/>
        <w:tc>
          <w:tcPr>
            <w:tcW w:w="1248"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5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Number of Shares Purchased</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 Price Paid per Share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8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Number of Shares Purchased as Part of Publicly Announced Plan</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9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Approximate Dollar Value of Shares That May Yet Be Purchased Under the Plans</w:t>
            </w:r>
          </w:p>
        </w:tc>
        <w:tc>
          <w:tcPr>
            <w:tcW w:w="6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24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33" w:type="dxa"/>
            <w:gridSpan w:val="14"/>
            <w:tcBorders/>
            <w:shd w:fill="CCEEFF" w:val="clear"/>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(dollars in thousands)</w:t>
            </w:r>
          </w:p>
        </w:tc>
        <w:tc>
          <w:tcPr>
            <w:tcW w:w="64" w:type="dxa"/>
            <w:tcBorders/>
            <w:shd w:fill="CCEEFF" w:val="clear"/>
            <w:vAlign w:val="center"/>
          </w:tcPr>
          <w:p>
            <w:pPr>
              <w:pStyle w:val="TableContents"/>
              <w:bidi w:val="0"/>
              <w:spacing w:before="0" w:after="283"/>
              <w:jc w:val="left"/>
              <w:rPr/>
            </w:pPr>
            <w:r>
              <w:rPr/>
              <w:t> </w:t>
            </w:r>
          </w:p>
        </w:tc>
      </w:tr>
      <w:tr>
        <w:trPr/>
        <w:tc>
          <w:tcPr>
            <w:tcW w:w="124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April 1, 2026 to April 30, 2026</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144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ind w:left="0" w:right="0" w:hanging="0"/>
              <w:jc w:val="left"/>
              <w:rPr/>
            </w:pPr>
            <w:r>
              <w:rPr/>
              <w:t> </w:t>
            </w:r>
          </w:p>
        </w:tc>
        <w:tc>
          <w:tcPr>
            <w:tcW w:w="238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4,100</w:t>
            </w:r>
          </w:p>
        </w:tc>
        <w:tc>
          <w:tcPr>
            <w:tcW w:w="64" w:type="dxa"/>
            <w:tcBorders/>
            <w:shd w:fill="FFFFFF" w:val="clear"/>
            <w:vAlign w:val="center"/>
          </w:tcPr>
          <w:p>
            <w:pPr>
              <w:pStyle w:val="TableContents"/>
              <w:bidi w:val="0"/>
              <w:spacing w:before="0" w:after="283"/>
              <w:jc w:val="left"/>
              <w:rPr/>
            </w:pPr>
            <w:r>
              <w:rPr/>
              <w:t> </w:t>
            </w:r>
          </w:p>
        </w:tc>
      </w:tr>
      <w:tr>
        <w:trPr/>
        <w:tc>
          <w:tcPr>
            <w:tcW w:w="124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May 1, 2026 to May 31, 2026</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14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23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w:t>
            </w:r>
          </w:p>
        </w:tc>
        <w:tc>
          <w:tcPr>
            <w:tcW w:w="64" w:type="dxa"/>
            <w:tcBorders/>
            <w:shd w:fill="CCEEFF" w:val="clear"/>
            <w:vAlign w:val="center"/>
          </w:tcPr>
          <w:p>
            <w:pPr>
              <w:pStyle w:val="TableContents"/>
              <w:bidi w:val="0"/>
              <w:spacing w:before="0" w:after="283"/>
              <w:jc w:val="left"/>
              <w:rPr/>
            </w:pPr>
            <w:r>
              <w:rPr/>
              <w:t> </w:t>
            </w:r>
          </w:p>
        </w:tc>
      </w:tr>
      <w:tr>
        <w:trPr/>
        <w:tc>
          <w:tcPr>
            <w:tcW w:w="124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June 1, 2026 to June 30, 2026</w:t>
            </w:r>
          </w:p>
        </w:tc>
        <w:tc>
          <w:tcPr>
            <w:tcW w:w="60" w:type="dxa"/>
            <w:tcBorders/>
            <w:shd w:fill="FFFFFF" w:val="clear"/>
            <w:vAlign w:val="center"/>
          </w:tcPr>
          <w:p>
            <w:pPr>
              <w:pStyle w:val="TableContents"/>
              <w:bidi w:val="0"/>
              <w:spacing w:before="0" w:after="283"/>
              <w:jc w:val="left"/>
              <w:rPr/>
            </w:pPr>
            <w:r>
              <w:rPr/>
              <w:t> </w:t>
            </w:r>
          </w:p>
        </w:tc>
        <w:tc>
          <w:tcPr>
            <w:tcW w:w="12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3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24,552</w:t>
            </w:r>
          </w:p>
        </w:tc>
        <w:tc>
          <w:tcPr>
            <w:tcW w:w="64" w:type="dxa"/>
            <w:tcBorders/>
            <w:shd w:fill="FFFFFF" w:val="clear"/>
            <w:vAlign w:val="center"/>
          </w:tcPr>
          <w:p>
            <w:pPr>
              <w:pStyle w:val="TableContents"/>
              <w:bidi w:val="0"/>
              <w:spacing w:before="0" w:after="283"/>
              <w:jc w:val="left"/>
              <w:rPr/>
            </w:pPr>
            <w:r>
              <w:rPr/>
              <w:t> </w:t>
            </w:r>
          </w:p>
        </w:tc>
      </w:tr>
      <w:tr>
        <w:trPr/>
        <w:tc>
          <w:tcPr>
            <w:tcW w:w="1248"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44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180,576</w:t>
            </w:r>
          </w:p>
        </w:tc>
        <w:tc>
          <w:tcPr>
            <w:tcW w:w="60" w:type="dxa"/>
            <w:tcBorders>
              <w:bottom w:val="double" w:sz="6" w:space="0" w:color="000000"/>
            </w:tcBorders>
            <w:shd w:fill="CCEEFF" w:val="clear"/>
            <w:tcMar>
              <w:bottom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24.65</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23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180,576</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23" w:type="dxa"/>
            <w:tcBorders/>
            <w:shd w:fill="CCEEFF" w:val="clear"/>
            <w:vAlign w:val="center"/>
          </w:tcPr>
          <w:p>
            <w:pPr>
              <w:pStyle w:val="TableContents"/>
              <w:bidi w:val="0"/>
              <w:spacing w:before="0" w:after="0"/>
              <w:ind w:left="0" w:right="0" w:hanging="0"/>
              <w:jc w:val="left"/>
              <w:rPr/>
            </w:pPr>
            <w:r>
              <w:rPr/>
              <w:t> </w:t>
            </w:r>
          </w:p>
        </w:tc>
        <w:tc>
          <w:tcPr>
            <w:tcW w:w="2475" w:type="dxa"/>
            <w:tcBorders/>
            <w:shd w:fill="CCEEFF" w:val="clear"/>
            <w:vAlign w:val="center"/>
          </w:tcPr>
          <w:p>
            <w:pPr>
              <w:pStyle w:val="TableContents"/>
              <w:bidi w:val="0"/>
              <w:spacing w:before="0" w:after="0"/>
              <w:ind w:left="0" w:right="0" w:hanging="0"/>
              <w:jc w:val="right"/>
              <w:rPr/>
            </w:pPr>
            <w:r>
              <w:rPr/>
              <w:t> </w:t>
            </w:r>
          </w:p>
        </w:tc>
        <w:tc>
          <w:tcPr>
            <w:tcW w:w="64" w:type="dxa"/>
            <w:tcBorders/>
            <w:shd w:fill="CCEE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375" w:type="dxa"/>
        <w:jc w:val="left"/>
        <w:tblInd w:w="0" w:type="dxa"/>
        <w:tblLayout w:type="fixed"/>
        <w:tblCellMar>
          <w:top w:w="0" w:type="dxa"/>
          <w:left w:w="0" w:type="dxa"/>
          <w:bottom w:w="0" w:type="dxa"/>
          <w:right w:w="0" w:type="dxa"/>
        </w:tblCellMar>
      </w:tblPr>
      <w:tblGrid>
        <w:gridCol w:w="740"/>
        <w:gridCol w:w="3635"/>
      </w:tblGrid>
      <w:tr>
        <w:trPr/>
        <w:tc>
          <w:tcPr>
            <w:tcW w:w="74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bookmarkStart w:id="19" w:name="Item3_Defaults"/>
            <w:bookmarkEnd w:id="19"/>
            <w:r>
              <w:rPr>
                <w:rFonts w:ascii="Times New Roman" w:hAnsi="Times New Roman"/>
                <w:b/>
                <w:caps w:val="false"/>
                <w:smallCaps w:val="false"/>
                <w:sz w:val="20"/>
              </w:rPr>
              <w:t>ITEM 3.</w:t>
            </w:r>
          </w:p>
        </w:tc>
        <w:tc>
          <w:tcPr>
            <w:tcW w:w="363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DEFAULTS UPON SENIOR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740"/>
        <w:gridCol w:w="2750"/>
      </w:tblGrid>
      <w:tr>
        <w:trPr/>
        <w:tc>
          <w:tcPr>
            <w:tcW w:w="74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bookmarkStart w:id="20" w:name="Item4_Mine"/>
            <w:bookmarkEnd w:id="20"/>
            <w:r>
              <w:rPr>
                <w:rFonts w:ascii="Times New Roman" w:hAnsi="Times New Roman"/>
                <w:b/>
                <w:caps w:val="false"/>
                <w:smallCaps w:val="false"/>
                <w:sz w:val="20"/>
              </w:rPr>
              <w:t>ITEM 4.</w:t>
            </w:r>
          </w:p>
        </w:tc>
        <w:tc>
          <w:tcPr>
            <w:tcW w:w="275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MINE SAFETY DISCLOSURES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2935" w:type="dxa"/>
        <w:jc w:val="left"/>
        <w:tblInd w:w="0" w:type="dxa"/>
        <w:tblLayout w:type="fixed"/>
        <w:tblCellMar>
          <w:top w:w="0" w:type="dxa"/>
          <w:left w:w="0" w:type="dxa"/>
          <w:bottom w:w="0" w:type="dxa"/>
          <w:right w:w="0" w:type="dxa"/>
        </w:tblCellMar>
      </w:tblPr>
      <w:tblGrid>
        <w:gridCol w:w="740"/>
        <w:gridCol w:w="2195"/>
      </w:tblGrid>
      <w:tr>
        <w:trPr/>
        <w:tc>
          <w:tcPr>
            <w:tcW w:w="740" w:type="dxa"/>
            <w:tcBorders/>
            <w:vAlign w:val="center"/>
          </w:tcPr>
          <w:p>
            <w:pPr>
              <w:pStyle w:val="TableContents"/>
              <w:bidi w:val="0"/>
              <w:spacing w:before="0" w:after="0"/>
              <w:ind w:left="0" w:right="0" w:hanging="0"/>
              <w:jc w:val="both"/>
              <w:rPr/>
            </w:pPr>
            <w:bookmarkStart w:id="21" w:name="ITem5_Other"/>
            <w:bookmarkEnd w:id="21"/>
            <w:r>
              <w:rPr>
                <w:rFonts w:ascii="Times New Roman" w:hAnsi="Times New Roman"/>
                <w:b/>
                <w:caps w:val="false"/>
                <w:smallCaps w:val="false"/>
                <w:sz w:val="20"/>
              </w:rPr>
              <w:t xml:space="preserve">ITEM </w:t>
            </w:r>
            <w:r>
              <w:rPr>
                <w:rStyle w:val="Emphasis"/>
                <w:rFonts w:ascii="Times New Roman" w:hAnsi="Times New Roman"/>
                <w:b/>
                <w:caps w:val="false"/>
                <w:smallCaps w:val="false"/>
                <w:sz w:val="20"/>
              </w:rPr>
              <w:t>5.</w:t>
            </w:r>
          </w:p>
        </w:tc>
        <w:tc>
          <w:tcPr>
            <w:tcW w:w="219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OTHER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Plans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During the quarter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no officer or director of the Company adopted or terminated any contract, instruction, or written plan for the purchase or sale of securities of our common stock that is intended to satisfy the affirmative defense conditions of Exchange Act Rule 10b5-1(c) or any non-Rule 10b5-</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as defined in </w:t>
      </w:r>
      <w:r>
        <w:rPr>
          <w:rStyle w:val="Emphasis"/>
          <w:rFonts w:ascii="Times New Roman" w:hAnsi="Times New Roman"/>
          <w:caps w:val="false"/>
          <w:smallCaps w:val="false"/>
          <w:sz w:val="20"/>
        </w:rPr>
        <w:t>17</w:t>
      </w:r>
      <w:r>
        <w:rPr>
          <w:rFonts w:ascii="Times New Roman" w:hAnsi="Times New Roman"/>
          <w:caps w:val="false"/>
          <w:smallCaps w:val="false"/>
          <w:sz w:val="20"/>
        </w:rPr>
        <w:t xml:space="preserve"> CFR§ </w:t>
      </w:r>
      <w:r>
        <w:rPr>
          <w:rStyle w:val="Emphasis"/>
          <w:rFonts w:ascii="Times New Roman" w:hAnsi="Times New Roman"/>
          <w:caps w:val="false"/>
          <w:smallCaps w:val="false"/>
          <w:sz w:val="20"/>
        </w:rPr>
        <w:t>229.408</w:t>
      </w:r>
      <w:r>
        <w:rPr>
          <w:rFonts w:ascii="Times New Roman" w:hAnsi="Times New Roman"/>
          <w:caps w:val="false"/>
          <w:smallCaps w:val="false"/>
          <w:sz w:val="20"/>
        </w:rPr>
        <w:t>(c).</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59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705" w:type="dxa"/>
        <w:jc w:val="left"/>
        <w:tblInd w:w="0" w:type="dxa"/>
        <w:tblLayout w:type="fixed"/>
        <w:tblCellMar>
          <w:top w:w="0" w:type="dxa"/>
          <w:left w:w="0" w:type="dxa"/>
          <w:bottom w:w="0" w:type="dxa"/>
          <w:right w:w="0" w:type="dxa"/>
        </w:tblCellMar>
      </w:tblPr>
      <w:tblGrid>
        <w:gridCol w:w="740"/>
        <w:gridCol w:w="965"/>
      </w:tblGrid>
      <w:tr>
        <w:trPr/>
        <w:tc>
          <w:tcPr>
            <w:tcW w:w="74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bookmarkStart w:id="22" w:name="Item6_Exhibits"/>
            <w:bookmarkEnd w:id="22"/>
            <w:r>
              <w:rPr>
                <w:rFonts w:ascii="Times New Roman" w:hAnsi="Times New Roman"/>
                <w:b/>
                <w:caps w:val="false"/>
                <w:smallCaps w:val="false"/>
                <w:sz w:val="20"/>
              </w:rPr>
              <w:t>ITEM 6.</w:t>
            </w:r>
          </w:p>
        </w:tc>
        <w:tc>
          <w:tcPr>
            <w:tcW w:w="96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35"/>
        <w:gridCol w:w="60"/>
        <w:gridCol w:w="9210"/>
      </w:tblGrid>
      <w:tr>
        <w:trPr/>
        <w:tc>
          <w:tcPr>
            <w:tcW w:w="93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Exhibit</w:t>
            </w:r>
            <w:r>
              <w:rPr>
                <w:rFonts w:ascii="Times New Roman" w:hAnsi="Times New Roman"/>
                <w:caps w:val="false"/>
                <w:smallCaps w:val="false"/>
                <w:sz w:val="20"/>
              </w:rPr>
              <w:t> </w:t>
            </w:r>
            <w:r>
              <w:rPr>
                <w:rFonts w:ascii="Times New Roman" w:hAnsi="Times New Roman"/>
                <w:b/>
                <w:caps w:val="false"/>
                <w:smallCaps w:val="false"/>
                <w:sz w:val="20"/>
              </w:rPr>
              <w:t>No</w:t>
            </w:r>
          </w:p>
        </w:tc>
        <w:tc>
          <w:tcPr>
            <w:tcW w:w="60" w:type="dxa"/>
            <w:tcBorders/>
            <w:tcMar>
              <w:bottom w:w="0" w:type="dxa"/>
            </w:tcMar>
            <w:vAlign w:val="center"/>
          </w:tcPr>
          <w:p>
            <w:pPr>
              <w:pStyle w:val="TableContents"/>
              <w:bidi w:val="0"/>
              <w:spacing w:before="0" w:after="283"/>
              <w:jc w:val="left"/>
              <w:rPr/>
            </w:pPr>
            <w:r>
              <w:rPr/>
              <w:t> </w:t>
            </w:r>
          </w:p>
        </w:tc>
        <w:tc>
          <w:tcPr>
            <w:tcW w:w="921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Description of</w:t>
            </w:r>
            <w:r>
              <w:rPr>
                <w:rFonts w:ascii="Times New Roman" w:hAnsi="Times New Roman"/>
                <w:caps w:val="false"/>
                <w:smallCaps w:val="false"/>
                <w:sz w:val="20"/>
              </w:rPr>
              <w:t> </w:t>
            </w:r>
            <w:r>
              <w:rPr>
                <w:rFonts w:ascii="Times New Roman" w:hAnsi="Times New Roman"/>
                <w:b/>
                <w:caps w:val="false"/>
                <w:smallCaps w:val="false"/>
                <w:sz w:val="20"/>
              </w:rPr>
              <w:t>Exhibits</w:t>
            </w:r>
          </w:p>
        </w:tc>
      </w:tr>
      <w:tr>
        <w:trPr/>
        <w:tc>
          <w:tcPr>
            <w:tcW w:w="9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10" w:type="dxa"/>
            <w:tcBorders/>
            <w:tcMar>
              <w:bottom w:w="0" w:type="dxa"/>
            </w:tcMar>
            <w:vAlign w:val="center"/>
          </w:tcPr>
          <w:p>
            <w:pPr>
              <w:pStyle w:val="TableContents"/>
              <w:bidi w:val="0"/>
              <w:spacing w:before="0" w:after="283"/>
              <w:jc w:val="left"/>
              <w:rPr/>
            </w:pPr>
            <w:r>
              <w:rPr/>
              <w:t> </w:t>
            </w:r>
          </w:p>
        </w:tc>
      </w:tr>
      <w:tr>
        <w:trPr/>
        <w:tc>
          <w:tcPr>
            <w:tcW w:w="935" w:type="dxa"/>
            <w:tcBorders/>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3.1</w:t>
            </w:r>
          </w:p>
        </w:tc>
        <w:tc>
          <w:tcPr>
            <w:tcW w:w="60" w:type="dxa"/>
            <w:tcBorders/>
            <w:tcMar>
              <w:bottom w:w="0" w:type="dxa"/>
            </w:tcMar>
            <w:vAlign w:val="center"/>
          </w:tcPr>
          <w:p>
            <w:pPr>
              <w:pStyle w:val="TableContents"/>
              <w:bidi w:val="0"/>
              <w:spacing w:before="0" w:after="283"/>
              <w:jc w:val="left"/>
              <w:rPr/>
            </w:pPr>
            <w:r>
              <w:rPr/>
              <w:t> </w:t>
            </w:r>
          </w:p>
        </w:tc>
        <w:tc>
          <w:tcPr>
            <w:tcW w:w="9210" w:type="dxa"/>
            <w:tcBorders/>
            <w:tcMar>
              <w:bottom w:w="0" w:type="dxa"/>
            </w:tcMar>
            <w:vAlign w:val="center"/>
          </w:tcPr>
          <w:p>
            <w:pPr>
              <w:pStyle w:val="TableContents"/>
              <w:bidi w:val="0"/>
              <w:spacing w:lineRule="auto" w:line="288" w:before="0" w:after="0"/>
              <w:ind w:left="0" w:right="0" w:hanging="0"/>
              <w:jc w:val="left"/>
              <w:rPr/>
            </w:pPr>
            <w:hyperlink r:id="rId2">
              <w:r>
                <w:rPr>
                  <w:rStyle w:val="InternetLink"/>
                  <w:rFonts w:ascii="Times New Roman" w:hAnsi="Times New Roman"/>
                  <w:caps w:val="false"/>
                  <w:smallCaps w:val="false"/>
                  <w:sz w:val="20"/>
                  <w:u w:val="single"/>
                </w:rPr>
                <w:t>Articles of Incorporation of RBB Bancorp</w:t>
              </w:r>
            </w:hyperlink>
            <w:r>
              <w:rPr>
                <w:rFonts w:ascii="Times New Roman" w:hAnsi="Times New Roman"/>
                <w:caps w:val="false"/>
                <w:smallCaps w:val="false"/>
                <w:sz w:val="20"/>
              </w:rPr>
              <w:t> (1)</w:t>
            </w:r>
          </w:p>
        </w:tc>
      </w:tr>
      <w:tr>
        <w:trPr/>
        <w:tc>
          <w:tcPr>
            <w:tcW w:w="9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10" w:type="dxa"/>
            <w:tcBorders/>
            <w:tcMar>
              <w:bottom w:w="0" w:type="dxa"/>
            </w:tcMar>
            <w:vAlign w:val="center"/>
          </w:tcPr>
          <w:p>
            <w:pPr>
              <w:pStyle w:val="TableContents"/>
              <w:bidi w:val="0"/>
              <w:spacing w:before="0" w:after="283"/>
              <w:jc w:val="left"/>
              <w:rPr/>
            </w:pPr>
            <w:r>
              <w:rPr/>
              <w:t> </w:t>
            </w:r>
          </w:p>
        </w:tc>
      </w:tr>
      <w:tr>
        <w:trPr/>
        <w:tc>
          <w:tcPr>
            <w:tcW w:w="935" w:type="dxa"/>
            <w:tcBorders/>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3.2</w:t>
            </w:r>
          </w:p>
        </w:tc>
        <w:tc>
          <w:tcPr>
            <w:tcW w:w="60" w:type="dxa"/>
            <w:tcBorders/>
            <w:tcMar>
              <w:bottom w:w="0" w:type="dxa"/>
            </w:tcMar>
            <w:vAlign w:val="center"/>
          </w:tcPr>
          <w:p>
            <w:pPr>
              <w:pStyle w:val="TableContents"/>
              <w:bidi w:val="0"/>
              <w:spacing w:before="0" w:after="283"/>
              <w:jc w:val="left"/>
              <w:rPr/>
            </w:pPr>
            <w:r>
              <w:rPr/>
              <w:t> </w:t>
            </w:r>
          </w:p>
        </w:tc>
        <w:tc>
          <w:tcPr>
            <w:tcW w:w="9210" w:type="dxa"/>
            <w:tcBorders/>
            <w:tcMar>
              <w:bottom w:w="0" w:type="dxa"/>
            </w:tcMar>
            <w:vAlign w:val="center"/>
          </w:tcPr>
          <w:p>
            <w:pPr>
              <w:pStyle w:val="TableContents"/>
              <w:bidi w:val="0"/>
              <w:spacing w:lineRule="auto" w:line="288" w:before="0" w:after="0"/>
              <w:ind w:left="0" w:right="0" w:hanging="0"/>
              <w:jc w:val="left"/>
              <w:rPr/>
            </w:pPr>
            <w:hyperlink r:id="rId3">
              <w:r>
                <w:rPr>
                  <w:rStyle w:val="InternetLink"/>
                  <w:rFonts w:ascii="Times New Roman" w:hAnsi="Times New Roman"/>
                  <w:caps w:val="false"/>
                  <w:smallCaps w:val="false"/>
                  <w:sz w:val="20"/>
                  <w:u w:val="single"/>
                </w:rPr>
                <w:t>Bylaws of RBB Bancorp</w:t>
              </w:r>
            </w:hyperlink>
            <w:r>
              <w:rPr>
                <w:rFonts w:ascii="Times New Roman" w:hAnsi="Times New Roman"/>
                <w:caps w:val="false"/>
                <w:smallCaps w:val="false"/>
                <w:sz w:val="20"/>
              </w:rPr>
              <w:t> (2)</w:t>
            </w:r>
          </w:p>
        </w:tc>
      </w:tr>
      <w:tr>
        <w:trPr/>
        <w:tc>
          <w:tcPr>
            <w:tcW w:w="9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10" w:type="dxa"/>
            <w:tcBorders/>
            <w:tcMar>
              <w:bottom w:w="0" w:type="dxa"/>
            </w:tcMar>
            <w:vAlign w:val="center"/>
          </w:tcPr>
          <w:p>
            <w:pPr>
              <w:pStyle w:val="TableContents"/>
              <w:bidi w:val="0"/>
              <w:spacing w:before="0" w:after="283"/>
              <w:jc w:val="left"/>
              <w:rPr/>
            </w:pPr>
            <w:r>
              <w:rPr/>
              <w:t> </w:t>
            </w:r>
          </w:p>
        </w:tc>
      </w:tr>
      <w:tr>
        <w:trPr/>
        <w:tc>
          <w:tcPr>
            <w:tcW w:w="935" w:type="dxa"/>
            <w:tcBorders/>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3.3</w:t>
            </w:r>
          </w:p>
        </w:tc>
        <w:tc>
          <w:tcPr>
            <w:tcW w:w="60" w:type="dxa"/>
            <w:tcBorders/>
            <w:tcMar>
              <w:bottom w:w="0" w:type="dxa"/>
            </w:tcMar>
            <w:vAlign w:val="center"/>
          </w:tcPr>
          <w:p>
            <w:pPr>
              <w:pStyle w:val="TableContents"/>
              <w:bidi w:val="0"/>
              <w:spacing w:before="0" w:after="283"/>
              <w:jc w:val="left"/>
              <w:rPr/>
            </w:pPr>
            <w:r>
              <w:rPr/>
              <w:t> </w:t>
            </w:r>
          </w:p>
        </w:tc>
        <w:tc>
          <w:tcPr>
            <w:tcW w:w="9210" w:type="dxa"/>
            <w:tcBorders/>
            <w:tcMar>
              <w:bottom w:w="0" w:type="dxa"/>
            </w:tcMar>
            <w:vAlign w:val="center"/>
          </w:tcPr>
          <w:p>
            <w:pPr>
              <w:pStyle w:val="TableContents"/>
              <w:bidi w:val="0"/>
              <w:spacing w:lineRule="auto" w:line="288" w:before="0" w:after="0"/>
              <w:ind w:left="0" w:right="0" w:hanging="0"/>
              <w:jc w:val="left"/>
              <w:rPr/>
            </w:pPr>
            <w:hyperlink r:id="rId4">
              <w:r>
                <w:rPr>
                  <w:rStyle w:val="InternetLink"/>
                  <w:rFonts w:ascii="Times New Roman" w:hAnsi="Times New Roman"/>
                  <w:caps w:val="false"/>
                  <w:smallCaps w:val="false"/>
                  <w:sz w:val="20"/>
                  <w:u w:val="single"/>
                </w:rPr>
                <w:t>Amendment to Bylaws of RBB Bancorp</w:t>
              </w:r>
            </w:hyperlink>
            <w:r>
              <w:rPr>
                <w:rFonts w:ascii="Times New Roman" w:hAnsi="Times New Roman"/>
                <w:caps w:val="false"/>
                <w:smallCaps w:val="false"/>
                <w:sz w:val="20"/>
              </w:rPr>
              <w:t> (4)</w:t>
            </w:r>
          </w:p>
        </w:tc>
      </w:tr>
      <w:tr>
        <w:trPr/>
        <w:tc>
          <w:tcPr>
            <w:tcW w:w="9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10" w:type="dxa"/>
            <w:tcBorders/>
            <w:tcMar>
              <w:bottom w:w="0" w:type="dxa"/>
            </w:tcMar>
            <w:vAlign w:val="center"/>
          </w:tcPr>
          <w:p>
            <w:pPr>
              <w:pStyle w:val="TableContents"/>
              <w:bidi w:val="0"/>
              <w:spacing w:before="0" w:after="283"/>
              <w:jc w:val="left"/>
              <w:rPr/>
            </w:pPr>
            <w:r>
              <w:rPr/>
              <w:t> </w:t>
            </w:r>
          </w:p>
        </w:tc>
      </w:tr>
      <w:tr>
        <w:trPr/>
        <w:tc>
          <w:tcPr>
            <w:tcW w:w="935" w:type="dxa"/>
            <w:tcBorders/>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4.1</w:t>
            </w:r>
          </w:p>
        </w:tc>
        <w:tc>
          <w:tcPr>
            <w:tcW w:w="60" w:type="dxa"/>
            <w:tcBorders/>
            <w:tcMar>
              <w:bottom w:w="0" w:type="dxa"/>
            </w:tcMar>
            <w:vAlign w:val="center"/>
          </w:tcPr>
          <w:p>
            <w:pPr>
              <w:pStyle w:val="TableContents"/>
              <w:bidi w:val="0"/>
              <w:spacing w:before="0" w:after="283"/>
              <w:jc w:val="left"/>
              <w:rPr/>
            </w:pPr>
            <w:r>
              <w:rPr/>
              <w:t> </w:t>
            </w:r>
          </w:p>
        </w:tc>
        <w:tc>
          <w:tcPr>
            <w:tcW w:w="9210" w:type="dxa"/>
            <w:tcBorders/>
            <w:tcMar>
              <w:bottom w:w="0" w:type="dxa"/>
            </w:tcMar>
            <w:vAlign w:val="center"/>
          </w:tcPr>
          <w:p>
            <w:pPr>
              <w:pStyle w:val="TableContents"/>
              <w:bidi w:val="0"/>
              <w:spacing w:lineRule="auto" w:line="288" w:before="0" w:after="0"/>
              <w:ind w:left="0" w:right="0" w:hanging="0"/>
              <w:jc w:val="left"/>
              <w:rPr/>
            </w:pPr>
            <w:hyperlink r:id="rId5">
              <w:r>
                <w:rPr>
                  <w:rStyle w:val="InternetLink"/>
                  <w:rFonts w:ascii="Times New Roman" w:hAnsi="Times New Roman"/>
                  <w:caps w:val="false"/>
                  <w:smallCaps w:val="false"/>
                  <w:sz w:val="20"/>
                  <w:u w:val="single"/>
                </w:rPr>
                <w:t>Specimen Common Stock Certificate of RBB Bancorp</w:t>
              </w:r>
            </w:hyperlink>
            <w:r>
              <w:rPr>
                <w:rFonts w:ascii="Times New Roman" w:hAnsi="Times New Roman"/>
                <w:caps w:val="false"/>
                <w:smallCaps w:val="false"/>
                <w:sz w:val="20"/>
              </w:rPr>
              <w:t> (3)</w:t>
            </w:r>
          </w:p>
        </w:tc>
      </w:tr>
      <w:tr>
        <w:trPr/>
        <w:tc>
          <w:tcPr>
            <w:tcW w:w="9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10" w:type="dxa"/>
            <w:tcBorders/>
            <w:tcMar>
              <w:bottom w:w="0" w:type="dxa"/>
            </w:tcMar>
            <w:vAlign w:val="center"/>
          </w:tcPr>
          <w:p>
            <w:pPr>
              <w:pStyle w:val="TableContents"/>
              <w:bidi w:val="0"/>
              <w:spacing w:before="0" w:after="0"/>
              <w:ind w:left="0" w:right="0" w:hanging="0"/>
              <w:jc w:val="left"/>
              <w:rPr/>
            </w:pPr>
            <w:r>
              <w:rPr/>
              <w:t> </w:t>
            </w:r>
          </w:p>
        </w:tc>
      </w:tr>
      <w:tr>
        <w:trPr/>
        <w:tc>
          <w:tcPr>
            <w:tcW w:w="9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10" w:type="dxa"/>
            <w:tcBorders/>
            <w:tcMar>
              <w:bottom w:w="0" w:type="dxa"/>
            </w:tcMar>
            <w:vAlign w:val="center"/>
          </w:tcPr>
          <w:p>
            <w:pPr>
              <w:pStyle w:val="TableContents"/>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The other instruments defining the rights of holders of the long-term debt securities of the Company and its subsidiaries are omitted pursuant to section (b)(4)(iii)(A) of Item 601 of Regulation S-K. The Company hereby agrees to furnish copies of these instruments to the SEC upon request.</w:t>
            </w:r>
          </w:p>
        </w:tc>
      </w:tr>
      <w:tr>
        <w:trPr/>
        <w:tc>
          <w:tcPr>
            <w:tcW w:w="9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10" w:type="dxa"/>
            <w:tcBorders/>
            <w:tcMar>
              <w:bottom w:w="0" w:type="dxa"/>
            </w:tcMar>
            <w:vAlign w:val="center"/>
          </w:tcPr>
          <w:p>
            <w:pPr>
              <w:pStyle w:val="TableContents"/>
              <w:bidi w:val="0"/>
              <w:spacing w:before="0" w:after="283"/>
              <w:jc w:val="left"/>
              <w:rPr/>
            </w:pPr>
            <w:r>
              <w:rPr/>
              <w:t> </w:t>
            </w:r>
          </w:p>
        </w:tc>
      </w:tr>
      <w:tr>
        <w:trPr/>
        <w:tc>
          <w:tcPr>
            <w:tcW w:w="935" w:type="dxa"/>
            <w:tcBorders/>
            <w:tcMar>
              <w:bottom w:w="0" w:type="dxa"/>
            </w:tcMar>
            <w:vAlign w:val="center"/>
          </w:tcPr>
          <w:p>
            <w:pPr>
              <w:pStyle w:val="TableContents"/>
              <w:bidi w:val="0"/>
              <w:spacing w:before="0" w:after="283"/>
              <w:jc w:val="left"/>
              <w:rPr/>
            </w:pPr>
            <w:r>
              <w:rPr/>
              <w:t>   </w:t>
            </w:r>
            <w:r>
              <w:rPr/>
              <w:t>10.1</w:t>
            </w:r>
          </w:p>
        </w:tc>
        <w:tc>
          <w:tcPr>
            <w:tcW w:w="60" w:type="dxa"/>
            <w:tcBorders/>
            <w:tcMar>
              <w:bottom w:w="0" w:type="dxa"/>
            </w:tcMar>
            <w:vAlign w:val="center"/>
          </w:tcPr>
          <w:p>
            <w:pPr>
              <w:pStyle w:val="TableContents"/>
              <w:bidi w:val="0"/>
              <w:spacing w:before="0" w:after="283"/>
              <w:jc w:val="left"/>
              <w:rPr/>
            </w:pPr>
            <w:r>
              <w:rPr/>
              <w:t> </w:t>
            </w:r>
          </w:p>
        </w:tc>
        <w:tc>
          <w:tcPr>
            <w:tcW w:w="9210" w:type="dxa"/>
            <w:tcBorders/>
            <w:tcMar>
              <w:bottom w:w="0" w:type="dxa"/>
            </w:tcMar>
            <w:vAlign w:val="center"/>
          </w:tcPr>
          <w:p>
            <w:pPr>
              <w:pStyle w:val="TableContents"/>
              <w:bidi w:val="0"/>
              <w:spacing w:before="0" w:after="283"/>
              <w:jc w:val="left"/>
              <w:rPr/>
            </w:pPr>
            <w:hyperlink w:anchor="ex_993148.htm">
              <w:r>
                <w:rPr>
                  <w:rStyle w:val="InternetLink"/>
                </w:rPr>
                <w:t>Form of Performance Stock Unit Award Agreement Under the 2017 Omnibus Stock Incentive Plan (Filed herewith)*</w:t>
              </w:r>
            </w:hyperlink>
          </w:p>
        </w:tc>
      </w:tr>
      <w:tr>
        <w:trPr/>
        <w:tc>
          <w:tcPr>
            <w:tcW w:w="9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10" w:type="dxa"/>
            <w:tcBorders/>
            <w:tcMar>
              <w:bottom w:w="0" w:type="dxa"/>
            </w:tcMar>
            <w:vAlign w:val="center"/>
          </w:tcPr>
          <w:p>
            <w:pPr>
              <w:pStyle w:val="TableContents"/>
              <w:bidi w:val="0"/>
              <w:spacing w:before="0" w:after="283"/>
              <w:jc w:val="left"/>
              <w:rPr/>
            </w:pPr>
            <w:r>
              <w:rPr/>
              <w:t> </w:t>
            </w:r>
          </w:p>
        </w:tc>
      </w:tr>
      <w:tr>
        <w:trPr/>
        <w:tc>
          <w:tcPr>
            <w:tcW w:w="935" w:type="dxa"/>
            <w:tcBorders/>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31.1</w:t>
            </w:r>
          </w:p>
        </w:tc>
        <w:tc>
          <w:tcPr>
            <w:tcW w:w="60" w:type="dxa"/>
            <w:tcBorders/>
            <w:tcMar>
              <w:bottom w:w="0" w:type="dxa"/>
            </w:tcMar>
            <w:vAlign w:val="center"/>
          </w:tcPr>
          <w:p>
            <w:pPr>
              <w:pStyle w:val="TableContents"/>
              <w:bidi w:val="0"/>
              <w:spacing w:before="0" w:after="283"/>
              <w:jc w:val="left"/>
              <w:rPr/>
            </w:pPr>
            <w:r>
              <w:rPr/>
              <w:t> </w:t>
            </w:r>
          </w:p>
        </w:tc>
        <w:tc>
          <w:tcPr>
            <w:tcW w:w="9210" w:type="dxa"/>
            <w:tcBorders/>
            <w:tcMar>
              <w:bottom w:w="0" w:type="dxa"/>
            </w:tcMar>
            <w:vAlign w:val="center"/>
          </w:tcPr>
          <w:p>
            <w:pPr>
              <w:pStyle w:val="TableContents"/>
              <w:bidi w:val="0"/>
              <w:spacing w:before="0" w:after="0"/>
              <w:ind w:left="0" w:right="0" w:hanging="0"/>
              <w:jc w:val="left"/>
              <w:rPr/>
            </w:pPr>
            <w:hyperlink w:anchor="ex_972164.htm">
              <w:r>
                <w:rPr>
                  <w:rStyle w:val="InternetLink"/>
                  <w:rFonts w:ascii="Times New Roman" w:hAnsi="Times New Roman"/>
                  <w:caps w:val="false"/>
                  <w:smallCaps w:val="false"/>
                  <w:sz w:val="20"/>
                  <w:u w:val="single"/>
                </w:rPr>
                <w:t>Certification of Chief Executive Officer pursuant to Section 302 of the Sarbanes-Oxley Act of 2002</w:t>
              </w:r>
            </w:hyperlink>
          </w:p>
        </w:tc>
      </w:tr>
      <w:tr>
        <w:trPr/>
        <w:tc>
          <w:tcPr>
            <w:tcW w:w="9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10" w:type="dxa"/>
            <w:tcBorders/>
            <w:tcMar>
              <w:bottom w:w="0" w:type="dxa"/>
            </w:tcMar>
            <w:vAlign w:val="center"/>
          </w:tcPr>
          <w:p>
            <w:pPr>
              <w:pStyle w:val="TableContents"/>
              <w:bidi w:val="0"/>
              <w:spacing w:before="0" w:after="283"/>
              <w:jc w:val="left"/>
              <w:rPr/>
            </w:pPr>
            <w:r>
              <w:rPr/>
              <w:t> </w:t>
            </w:r>
          </w:p>
        </w:tc>
      </w:tr>
      <w:tr>
        <w:trPr/>
        <w:tc>
          <w:tcPr>
            <w:tcW w:w="935" w:type="dxa"/>
            <w:tcBorders/>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31.2</w:t>
            </w:r>
          </w:p>
        </w:tc>
        <w:tc>
          <w:tcPr>
            <w:tcW w:w="60" w:type="dxa"/>
            <w:tcBorders/>
            <w:tcMar>
              <w:bottom w:w="0" w:type="dxa"/>
            </w:tcMar>
            <w:vAlign w:val="center"/>
          </w:tcPr>
          <w:p>
            <w:pPr>
              <w:pStyle w:val="TableContents"/>
              <w:bidi w:val="0"/>
              <w:spacing w:before="0" w:after="283"/>
              <w:jc w:val="left"/>
              <w:rPr/>
            </w:pPr>
            <w:r>
              <w:rPr/>
              <w:t> </w:t>
            </w:r>
          </w:p>
        </w:tc>
        <w:tc>
          <w:tcPr>
            <w:tcW w:w="9210" w:type="dxa"/>
            <w:tcBorders/>
            <w:tcMar>
              <w:bottom w:w="0" w:type="dxa"/>
            </w:tcMar>
            <w:vAlign w:val="center"/>
          </w:tcPr>
          <w:p>
            <w:pPr>
              <w:pStyle w:val="TableContents"/>
              <w:bidi w:val="0"/>
              <w:spacing w:before="0" w:after="0"/>
              <w:ind w:left="0" w:right="0" w:hanging="0"/>
              <w:jc w:val="left"/>
              <w:rPr/>
            </w:pPr>
            <w:hyperlink w:anchor="ex_972165.htm">
              <w:r>
                <w:rPr>
                  <w:rStyle w:val="InternetLink"/>
                  <w:rFonts w:ascii="Times New Roman" w:hAnsi="Times New Roman"/>
                  <w:caps w:val="false"/>
                  <w:smallCaps w:val="false"/>
                  <w:sz w:val="20"/>
                  <w:u w:val="single"/>
                </w:rPr>
                <w:t>Certification of Chief Financial Officer pursuant to Section 302 of the Sarbanes-Oxley Act of 2002</w:t>
              </w:r>
            </w:hyperlink>
          </w:p>
        </w:tc>
      </w:tr>
      <w:tr>
        <w:trPr/>
        <w:tc>
          <w:tcPr>
            <w:tcW w:w="9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10" w:type="dxa"/>
            <w:tcBorders/>
            <w:tcMar>
              <w:bottom w:w="0" w:type="dxa"/>
            </w:tcMar>
            <w:vAlign w:val="center"/>
          </w:tcPr>
          <w:p>
            <w:pPr>
              <w:pStyle w:val="TableContents"/>
              <w:bidi w:val="0"/>
              <w:spacing w:before="0" w:after="283"/>
              <w:jc w:val="left"/>
              <w:rPr/>
            </w:pPr>
            <w:r>
              <w:rPr/>
              <w:t> </w:t>
            </w:r>
          </w:p>
        </w:tc>
      </w:tr>
      <w:tr>
        <w:trPr/>
        <w:tc>
          <w:tcPr>
            <w:tcW w:w="935" w:type="dxa"/>
            <w:tcBorders/>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32.1</w:t>
            </w:r>
          </w:p>
        </w:tc>
        <w:tc>
          <w:tcPr>
            <w:tcW w:w="60" w:type="dxa"/>
            <w:tcBorders/>
            <w:tcMar>
              <w:bottom w:w="0" w:type="dxa"/>
            </w:tcMar>
            <w:vAlign w:val="center"/>
          </w:tcPr>
          <w:p>
            <w:pPr>
              <w:pStyle w:val="TableContents"/>
              <w:bidi w:val="0"/>
              <w:spacing w:before="0" w:after="283"/>
              <w:jc w:val="left"/>
              <w:rPr/>
            </w:pPr>
            <w:r>
              <w:rPr/>
              <w:t> </w:t>
            </w:r>
          </w:p>
        </w:tc>
        <w:tc>
          <w:tcPr>
            <w:tcW w:w="9210" w:type="dxa"/>
            <w:tcBorders/>
            <w:tcMar>
              <w:bottom w:w="0" w:type="dxa"/>
            </w:tcMar>
            <w:vAlign w:val="center"/>
          </w:tcPr>
          <w:p>
            <w:pPr>
              <w:pStyle w:val="TableContents"/>
              <w:bidi w:val="0"/>
              <w:spacing w:before="0" w:after="0"/>
              <w:ind w:left="0" w:right="0" w:hanging="0"/>
              <w:jc w:val="both"/>
              <w:rPr/>
            </w:pPr>
            <w:hyperlink w:anchor="ex_972166.htm">
              <w:r>
                <w:rPr>
                  <w:rStyle w:val="InternetLink"/>
                  <w:rFonts w:ascii="Times New Roman" w:hAnsi="Times New Roman"/>
                  <w:caps w:val="false"/>
                  <w:smallCaps w:val="false"/>
                  <w:sz w:val="20"/>
                  <w:u w:val="single"/>
                </w:rPr>
                <w:t>Certification of Chief Executive Officer pursuant to Section 906 of the Sarbanes-Oxley Act of 2002</w:t>
              </w:r>
            </w:hyperlink>
          </w:p>
        </w:tc>
      </w:tr>
      <w:tr>
        <w:trPr/>
        <w:tc>
          <w:tcPr>
            <w:tcW w:w="9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10" w:type="dxa"/>
            <w:tcBorders/>
            <w:tcMar>
              <w:bottom w:w="0" w:type="dxa"/>
            </w:tcMar>
            <w:vAlign w:val="center"/>
          </w:tcPr>
          <w:p>
            <w:pPr>
              <w:pStyle w:val="TableContents"/>
              <w:bidi w:val="0"/>
              <w:spacing w:before="0" w:after="283"/>
              <w:jc w:val="left"/>
              <w:rPr/>
            </w:pPr>
            <w:r>
              <w:rPr/>
              <w:t> </w:t>
            </w:r>
          </w:p>
        </w:tc>
      </w:tr>
      <w:tr>
        <w:trPr/>
        <w:tc>
          <w:tcPr>
            <w:tcW w:w="935" w:type="dxa"/>
            <w:tcBorders/>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32.2</w:t>
            </w:r>
          </w:p>
        </w:tc>
        <w:tc>
          <w:tcPr>
            <w:tcW w:w="60" w:type="dxa"/>
            <w:tcBorders/>
            <w:tcMar>
              <w:bottom w:w="0" w:type="dxa"/>
            </w:tcMar>
            <w:vAlign w:val="center"/>
          </w:tcPr>
          <w:p>
            <w:pPr>
              <w:pStyle w:val="TableContents"/>
              <w:bidi w:val="0"/>
              <w:spacing w:before="0" w:after="283"/>
              <w:jc w:val="left"/>
              <w:rPr/>
            </w:pPr>
            <w:r>
              <w:rPr/>
              <w:t> </w:t>
            </w:r>
          </w:p>
        </w:tc>
        <w:tc>
          <w:tcPr>
            <w:tcW w:w="9210" w:type="dxa"/>
            <w:tcBorders/>
            <w:tcMar>
              <w:bottom w:w="0" w:type="dxa"/>
            </w:tcMar>
            <w:vAlign w:val="center"/>
          </w:tcPr>
          <w:p>
            <w:pPr>
              <w:pStyle w:val="TableContents"/>
              <w:bidi w:val="0"/>
              <w:spacing w:before="0" w:after="0"/>
              <w:ind w:left="0" w:right="0" w:hanging="0"/>
              <w:jc w:val="left"/>
              <w:rPr/>
            </w:pPr>
            <w:hyperlink w:anchor="ex_972167.htm">
              <w:r>
                <w:rPr>
                  <w:rStyle w:val="InternetLink"/>
                  <w:rFonts w:ascii="Times New Roman" w:hAnsi="Times New Roman"/>
                  <w:caps w:val="false"/>
                  <w:smallCaps w:val="false"/>
                  <w:sz w:val="20"/>
                  <w:u w:val="single"/>
                </w:rPr>
                <w:t>Certification of Chief Financial Officer pursuant to Section 906 of the Sarbanes-Oxley Act of 2002</w:t>
              </w:r>
            </w:hyperlink>
          </w:p>
        </w:tc>
      </w:tr>
    </w:tbl>
    <w:tbl>
      <w:tblPr>
        <w:tblW w:w="10205" w:type="dxa"/>
        <w:jc w:val="left"/>
        <w:tblInd w:w="0" w:type="dxa"/>
        <w:tblLayout w:type="fixed"/>
        <w:tblCellMar>
          <w:top w:w="0" w:type="dxa"/>
          <w:left w:w="0" w:type="dxa"/>
          <w:bottom w:w="0" w:type="dxa"/>
          <w:right w:w="0" w:type="dxa"/>
        </w:tblCellMar>
      </w:tblPr>
      <w:tblGrid>
        <w:gridCol w:w="671"/>
        <w:gridCol w:w="60"/>
        <w:gridCol w:w="9474"/>
      </w:tblGrid>
      <w:tr>
        <w:trPr/>
        <w:tc>
          <w:tcPr>
            <w:tcW w:w="67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101.INS</w:t>
            </w:r>
          </w:p>
        </w:tc>
        <w:tc>
          <w:tcPr>
            <w:tcW w:w="60" w:type="dxa"/>
            <w:tcBorders/>
            <w:vAlign w:val="center"/>
          </w:tcPr>
          <w:p>
            <w:pPr>
              <w:pStyle w:val="TableContents"/>
              <w:bidi w:val="0"/>
              <w:spacing w:before="0" w:after="283"/>
              <w:jc w:val="left"/>
              <w:rPr/>
            </w:pPr>
            <w:r>
              <w:rPr/>
              <w:t> </w:t>
            </w:r>
          </w:p>
        </w:tc>
        <w:tc>
          <w:tcPr>
            <w:tcW w:w="947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Instance Document</w:t>
            </w:r>
          </w:p>
        </w:tc>
      </w:tr>
      <w:tr>
        <w:trPr/>
        <w:tc>
          <w:tcPr>
            <w:tcW w:w="6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74" w:type="dxa"/>
            <w:tcBorders/>
            <w:vAlign w:val="center"/>
          </w:tcPr>
          <w:p>
            <w:pPr>
              <w:pStyle w:val="TableContents"/>
              <w:bidi w:val="0"/>
              <w:spacing w:before="0" w:after="283"/>
              <w:jc w:val="left"/>
              <w:rPr/>
            </w:pPr>
            <w:r>
              <w:rPr/>
              <w:t> </w:t>
            </w:r>
          </w:p>
        </w:tc>
      </w:tr>
      <w:tr>
        <w:trPr/>
        <w:tc>
          <w:tcPr>
            <w:tcW w:w="67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101.SCH</w:t>
            </w:r>
          </w:p>
        </w:tc>
        <w:tc>
          <w:tcPr>
            <w:tcW w:w="60" w:type="dxa"/>
            <w:tcBorders/>
            <w:vAlign w:val="center"/>
          </w:tcPr>
          <w:p>
            <w:pPr>
              <w:pStyle w:val="TableContents"/>
              <w:bidi w:val="0"/>
              <w:spacing w:before="0" w:after="283"/>
              <w:jc w:val="left"/>
              <w:rPr/>
            </w:pPr>
            <w:r>
              <w:rPr/>
              <w:t> </w:t>
            </w:r>
          </w:p>
        </w:tc>
        <w:tc>
          <w:tcPr>
            <w:tcW w:w="947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Schema Document</w:t>
            </w:r>
          </w:p>
        </w:tc>
      </w:tr>
      <w:tr>
        <w:trPr/>
        <w:tc>
          <w:tcPr>
            <w:tcW w:w="6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74" w:type="dxa"/>
            <w:tcBorders/>
            <w:vAlign w:val="center"/>
          </w:tcPr>
          <w:p>
            <w:pPr>
              <w:pStyle w:val="TableContents"/>
              <w:bidi w:val="0"/>
              <w:spacing w:before="0" w:after="283"/>
              <w:jc w:val="left"/>
              <w:rPr/>
            </w:pPr>
            <w:r>
              <w:rPr/>
              <w:t> </w:t>
            </w:r>
          </w:p>
        </w:tc>
      </w:tr>
      <w:tr>
        <w:trPr/>
        <w:tc>
          <w:tcPr>
            <w:tcW w:w="67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101.CAL</w:t>
            </w:r>
          </w:p>
        </w:tc>
        <w:tc>
          <w:tcPr>
            <w:tcW w:w="60" w:type="dxa"/>
            <w:tcBorders/>
            <w:vAlign w:val="center"/>
          </w:tcPr>
          <w:p>
            <w:pPr>
              <w:pStyle w:val="TableContents"/>
              <w:bidi w:val="0"/>
              <w:spacing w:before="0" w:after="283"/>
              <w:jc w:val="left"/>
              <w:rPr/>
            </w:pPr>
            <w:r>
              <w:rPr/>
              <w:t> </w:t>
            </w:r>
          </w:p>
        </w:tc>
        <w:tc>
          <w:tcPr>
            <w:tcW w:w="947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Calculation Linkbase Document</w:t>
            </w:r>
          </w:p>
        </w:tc>
      </w:tr>
      <w:tr>
        <w:trPr/>
        <w:tc>
          <w:tcPr>
            <w:tcW w:w="6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74" w:type="dxa"/>
            <w:tcBorders/>
            <w:vAlign w:val="center"/>
          </w:tcPr>
          <w:p>
            <w:pPr>
              <w:pStyle w:val="TableContents"/>
              <w:bidi w:val="0"/>
              <w:spacing w:before="0" w:after="283"/>
              <w:jc w:val="left"/>
              <w:rPr/>
            </w:pPr>
            <w:r>
              <w:rPr/>
              <w:t> </w:t>
            </w:r>
          </w:p>
        </w:tc>
      </w:tr>
      <w:tr>
        <w:trPr/>
        <w:tc>
          <w:tcPr>
            <w:tcW w:w="67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101.DEF</w:t>
            </w:r>
          </w:p>
        </w:tc>
        <w:tc>
          <w:tcPr>
            <w:tcW w:w="60" w:type="dxa"/>
            <w:tcBorders/>
            <w:vAlign w:val="center"/>
          </w:tcPr>
          <w:p>
            <w:pPr>
              <w:pStyle w:val="TableContents"/>
              <w:bidi w:val="0"/>
              <w:spacing w:before="0" w:after="283"/>
              <w:jc w:val="left"/>
              <w:rPr/>
            </w:pPr>
            <w:r>
              <w:rPr/>
              <w:t> </w:t>
            </w:r>
          </w:p>
        </w:tc>
        <w:tc>
          <w:tcPr>
            <w:tcW w:w="947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Definition Linkbase Document</w:t>
            </w:r>
          </w:p>
        </w:tc>
      </w:tr>
      <w:tr>
        <w:trPr/>
        <w:tc>
          <w:tcPr>
            <w:tcW w:w="6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74" w:type="dxa"/>
            <w:tcBorders/>
            <w:vAlign w:val="center"/>
          </w:tcPr>
          <w:p>
            <w:pPr>
              <w:pStyle w:val="TableContents"/>
              <w:bidi w:val="0"/>
              <w:spacing w:before="0" w:after="283"/>
              <w:jc w:val="left"/>
              <w:rPr/>
            </w:pPr>
            <w:r>
              <w:rPr/>
              <w:t> </w:t>
            </w:r>
          </w:p>
        </w:tc>
      </w:tr>
      <w:tr>
        <w:trPr/>
        <w:tc>
          <w:tcPr>
            <w:tcW w:w="67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101.LAB</w:t>
            </w:r>
          </w:p>
        </w:tc>
        <w:tc>
          <w:tcPr>
            <w:tcW w:w="60" w:type="dxa"/>
            <w:tcBorders/>
            <w:vAlign w:val="center"/>
          </w:tcPr>
          <w:p>
            <w:pPr>
              <w:pStyle w:val="TableContents"/>
              <w:bidi w:val="0"/>
              <w:spacing w:before="0" w:after="283"/>
              <w:jc w:val="left"/>
              <w:rPr/>
            </w:pPr>
            <w:r>
              <w:rPr/>
              <w:t> </w:t>
            </w:r>
          </w:p>
        </w:tc>
        <w:tc>
          <w:tcPr>
            <w:tcW w:w="947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Label Linkbase Document</w:t>
            </w:r>
          </w:p>
        </w:tc>
      </w:tr>
      <w:tr>
        <w:trPr/>
        <w:tc>
          <w:tcPr>
            <w:tcW w:w="6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74" w:type="dxa"/>
            <w:tcBorders/>
            <w:vAlign w:val="center"/>
          </w:tcPr>
          <w:p>
            <w:pPr>
              <w:pStyle w:val="TableContents"/>
              <w:bidi w:val="0"/>
              <w:spacing w:before="0" w:after="283"/>
              <w:jc w:val="left"/>
              <w:rPr/>
            </w:pPr>
            <w:r>
              <w:rPr/>
              <w:t> </w:t>
            </w:r>
          </w:p>
        </w:tc>
      </w:tr>
      <w:tr>
        <w:trPr/>
        <w:tc>
          <w:tcPr>
            <w:tcW w:w="67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101.PRE</w:t>
            </w:r>
          </w:p>
        </w:tc>
        <w:tc>
          <w:tcPr>
            <w:tcW w:w="60" w:type="dxa"/>
            <w:tcBorders/>
            <w:vAlign w:val="center"/>
          </w:tcPr>
          <w:p>
            <w:pPr>
              <w:pStyle w:val="TableContents"/>
              <w:bidi w:val="0"/>
              <w:spacing w:before="0" w:after="283"/>
              <w:jc w:val="left"/>
              <w:rPr/>
            </w:pPr>
            <w:r>
              <w:rPr/>
              <w:t> </w:t>
            </w:r>
          </w:p>
        </w:tc>
        <w:tc>
          <w:tcPr>
            <w:tcW w:w="947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Presentation Linkbase Document</w:t>
            </w:r>
          </w:p>
        </w:tc>
      </w:tr>
      <w:tr>
        <w:trPr/>
        <w:tc>
          <w:tcPr>
            <w:tcW w:w="6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74" w:type="dxa"/>
            <w:tcBorders/>
            <w:vAlign w:val="center"/>
          </w:tcPr>
          <w:p>
            <w:pPr>
              <w:pStyle w:val="TableContents"/>
              <w:bidi w:val="0"/>
              <w:spacing w:before="0" w:after="283"/>
              <w:jc w:val="left"/>
              <w:rPr/>
            </w:pPr>
            <w:r>
              <w:rPr/>
              <w:t> </w:t>
            </w:r>
          </w:p>
        </w:tc>
      </w:tr>
      <w:tr>
        <w:trPr/>
        <w:tc>
          <w:tcPr>
            <w:tcW w:w="67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vAlign w:val="center"/>
          </w:tcPr>
          <w:p>
            <w:pPr>
              <w:pStyle w:val="TableContents"/>
              <w:bidi w:val="0"/>
              <w:spacing w:before="0" w:after="283"/>
              <w:jc w:val="left"/>
              <w:rPr/>
            </w:pPr>
            <w:r>
              <w:rPr/>
              <w:t> </w:t>
            </w:r>
          </w:p>
        </w:tc>
        <w:tc>
          <w:tcPr>
            <w:tcW w:w="947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cover page of RBB Bancorp’s Quarterly Report on Form 10-Q for the quarter ended June 30, 2026, formatted in Inline XBRL (contained in Exhibit 101)</w:t>
            </w:r>
          </w:p>
        </w:tc>
      </w:tr>
    </w:tbl>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Management contract or compensatory plan or agreement.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w:t>
            </w:r>
          </w:p>
        </w:tc>
        <w:tc>
          <w:tcPr>
            <w:tcW w:w="996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Incorporated by reference from Exhibit 3.1 of the Registrant’s Registration Statement in Form S-1 filed with the SEC on June 28, 2017.</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w:t>
            </w:r>
          </w:p>
        </w:tc>
        <w:tc>
          <w:tcPr>
            <w:tcW w:w="996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Incorporated by reference from Exhibit 3.2 of the Registrant’s Registration Statement in Form S-1 filed with the SEC on June 28, 2017.</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w:t>
            </w:r>
          </w:p>
        </w:tc>
        <w:tc>
          <w:tcPr>
            <w:tcW w:w="996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Incorporated by reference from Exhibit 4.1 of the Registrant’s Registration Statement in Form S-1 filed with the SEC on June 28, 2017.</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w:t>
            </w:r>
          </w:p>
        </w:tc>
        <w:tc>
          <w:tcPr>
            <w:tcW w:w="996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Incorporated by reference from Exhibit 3.3 of the Registrant’s Quarterly Report in Form 10-Q filed with the SEC on November 13, 2018.</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60 </w:t>
      </w:r>
    </w:p>
    <w:p>
      <w:pPr>
        <w:pStyle w:val="HorizontalLine"/>
        <w:pBdr>
          <w:bottom w:val="double" w:sz="2" w:space="0" w:color="808080"/>
        </w:pBdr>
        <w:bidi w:val="0"/>
        <w:spacing w:before="0" w:after="283"/>
        <w:jc w:val="left"/>
        <w:rPr/>
      </w:pPr>
      <w:r>
        <w:rPr/>
      </w:r>
    </w:p>
    <w:p>
      <w:pPr>
        <w:pStyle w:val="TextBody"/>
        <w:bidi w:val="0"/>
        <w:ind w:left="0" w:right="0" w:hanging="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23" w:name="Signatures"/>
      <w:bookmarkEnd w:id="23"/>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2060"/>
        <w:gridCol w:w="60"/>
        <w:gridCol w:w="4010"/>
      </w:tblGrid>
      <w:tr>
        <w:trPr/>
        <w:tc>
          <w:tcPr>
            <w:tcW w:w="2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1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RBB BANCORP</w:t>
            </w:r>
          </w:p>
        </w:tc>
      </w:tr>
      <w:tr>
        <w:trPr/>
        <w:tc>
          <w:tcPr>
            <w:tcW w:w="2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(Registrant)</w:t>
            </w:r>
          </w:p>
        </w:tc>
      </w:tr>
      <w:tr>
        <w:trPr/>
        <w:tc>
          <w:tcPr>
            <w:tcW w:w="2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7, 2026</w:t>
            </w:r>
          </w:p>
        </w:tc>
        <w:tc>
          <w:tcPr>
            <w:tcW w:w="60" w:type="dxa"/>
            <w:tcBorders/>
            <w:vAlign w:val="center"/>
          </w:tcPr>
          <w:p>
            <w:pPr>
              <w:pStyle w:val="TableContents"/>
              <w:bidi w:val="0"/>
              <w:spacing w:before="0" w:after="283"/>
              <w:jc w:val="left"/>
              <w:rPr/>
            </w:pPr>
            <w:r>
              <w:rPr/>
              <w:t> </w:t>
            </w:r>
          </w:p>
        </w:tc>
        <w:tc>
          <w:tcPr>
            <w:tcW w:w="401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Johnny Lee</w:t>
            </w:r>
          </w:p>
        </w:tc>
      </w:tr>
      <w:tr>
        <w:trPr/>
        <w:tc>
          <w:tcPr>
            <w:tcW w:w="2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Johnny Lee</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and Chief Executive Officer</w:t>
            </w:r>
          </w:p>
        </w:tc>
      </w:tr>
      <w:tr>
        <w:trPr/>
        <w:tc>
          <w:tcPr>
            <w:tcW w:w="2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Date: August 7, 2026</w:t>
            </w:r>
          </w:p>
        </w:tc>
        <w:tc>
          <w:tcPr>
            <w:tcW w:w="60" w:type="dxa"/>
            <w:tcBorders/>
            <w:vAlign w:val="center"/>
          </w:tcPr>
          <w:p>
            <w:pPr>
              <w:pStyle w:val="TableContents"/>
              <w:bidi w:val="0"/>
              <w:spacing w:before="0" w:after="283"/>
              <w:jc w:val="left"/>
              <w:rPr/>
            </w:pPr>
            <w:r>
              <w:rPr/>
              <w:t> </w:t>
            </w:r>
          </w:p>
        </w:tc>
        <w:tc>
          <w:tcPr>
            <w:tcW w:w="4010" w:type="dxa"/>
            <w:tcBorders>
              <w:bottom w:val="single" w:sz="2" w:space="0" w:color="000000"/>
            </w:tcBorders>
            <w:tcMar>
              <w:bottom w:w="28" w:type="dxa"/>
            </w:tcMar>
            <w:vAlign w:val="center"/>
          </w:tcPr>
          <w:p>
            <w:pPr>
              <w:pStyle w:val="TableContents"/>
              <w:bidi w:val="0"/>
              <w:spacing w:before="0" w:after="283"/>
              <w:jc w:val="left"/>
              <w:rPr/>
            </w:pPr>
            <w:r>
              <w:rPr/>
              <w:t>/s/ Lynn Hopkins</w:t>
            </w:r>
          </w:p>
        </w:tc>
      </w:tr>
      <w:tr>
        <w:trPr/>
        <w:tc>
          <w:tcPr>
            <w:tcW w:w="2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Lynn Hopkins</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Chief Financial Officer</w:t>
            </w:r>
          </w:p>
        </w:tc>
      </w:tr>
      <w:tr>
        <w:trPr/>
        <w:tc>
          <w:tcPr>
            <w:tcW w:w="2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61 </w:t>
      </w:r>
    </w:p>
    <w:p>
      <w:pPr>
        <w:pStyle w:val="TextBody"/>
        <w:bidi w:val="0"/>
        <w:spacing w:before="0" w:after="0"/>
        <w:ind w:left="0" w:right="0" w:hanging="0"/>
        <w:jc w:val="right"/>
        <w:rPr>
          <w:rFonts w:ascii="Times New Roman" w:hAnsi="Times New Roman"/>
          <w:caps w:val="false"/>
          <w:smallCaps w:val="false"/>
          <w:sz w:val="20"/>
        </w:rPr>
      </w:pPr>
      <w:bookmarkStart w:id="24" w:name="ex_993148.htm"/>
      <w:bookmarkStart w:id="25" w:name="ksex_993148"/>
      <w:bookmarkEnd w:id="24"/>
      <w:bookmarkEnd w:id="25"/>
      <w:r>
        <w:rPr>
          <w:rFonts w:ascii="Times New Roman" w:hAnsi="Times New Roman"/>
          <w:caps w:val="false"/>
          <w:smallCaps w:val="false"/>
          <w:sz w:val="20"/>
        </w:rPr>
        <w:t>Exhibit 10.1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2"/>
        </w:rPr>
      </w:pPr>
      <w:r>
        <w:rPr>
          <w:rFonts w:ascii="Times New Roman" w:hAnsi="Times New Roman"/>
          <w:b/>
          <w:caps w:val="false"/>
          <w:smallCaps w:val="false"/>
          <w:sz w:val="22"/>
        </w:rPr>
        <w:t>RBB Bancorp</w:t>
      </w:r>
    </w:p>
    <w:p>
      <w:pPr>
        <w:pStyle w:val="TextBody"/>
        <w:bidi w:val="0"/>
        <w:spacing w:before="0" w:after="0"/>
        <w:ind w:left="0" w:right="0" w:hanging="0"/>
        <w:jc w:val="center"/>
        <w:rPr>
          <w:rFonts w:ascii="Times New Roman" w:hAnsi="Times New Roman"/>
          <w:b/>
          <w:caps w:val="false"/>
          <w:smallCaps w:val="false"/>
          <w:sz w:val="22"/>
        </w:rPr>
      </w:pPr>
      <w:r>
        <w:rPr>
          <w:rFonts w:ascii="Times New Roman" w:hAnsi="Times New Roman"/>
          <w:b/>
          <w:caps w:val="false"/>
          <w:smallCaps w:val="false"/>
          <w:sz w:val="22"/>
        </w:rPr>
        <w:t>2017 Omnibus Stock Incentive Plan</w:t>
      </w:r>
    </w:p>
    <w:p>
      <w:pPr>
        <w:pStyle w:val="TextBody"/>
        <w:bidi w:val="0"/>
        <w:spacing w:before="0" w:after="0"/>
        <w:ind w:left="0" w:right="0" w:hanging="0"/>
        <w:jc w:val="center"/>
        <w:rPr>
          <w:rFonts w:ascii="Times New Roman" w:hAnsi="Times New Roman"/>
          <w:b/>
          <w:caps w:val="false"/>
          <w:smallCaps w:val="false"/>
          <w:sz w:val="22"/>
        </w:rPr>
      </w:pPr>
      <w:r>
        <w:rPr>
          <w:rFonts w:ascii="Times New Roman" w:hAnsi="Times New Roman"/>
          <w:b/>
          <w:caps w:val="false"/>
          <w:smallCaps w:val="false"/>
          <w:sz w:val="22"/>
        </w:rPr>
        <w:t>Performance Stock Unit Award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2"/>
        </w:rPr>
      </w:pPr>
      <w:r>
        <w:rPr>
          <w:rFonts w:ascii="Times New Roman" w:hAnsi="Times New Roman"/>
          <w:b/>
          <w:caps w:val="false"/>
          <w:smallCaps w:val="false"/>
          <w:sz w:val="22"/>
        </w:rPr>
        <w:t>(Performance Period _________</w:t>
      </w:r>
      <w:r>
        <w:rPr>
          <w:rFonts w:ascii="Times New Roman" w:hAnsi="Times New Roman"/>
          <w:caps w:val="false"/>
          <w:smallCaps w:val="false"/>
          <w:sz w:val="22"/>
        </w:rPr>
        <w:t>– </w:t>
      </w:r>
      <w:r>
        <w:rPr>
          <w:rFonts w:ascii="Times New Roman" w:hAnsi="Times New Roman"/>
          <w:b/>
          <w:caps w:val="false"/>
          <w:smallCaps w:val="false"/>
          <w:sz w:val="22"/>
        </w:rPr>
        <w:t>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2"/>
        </w:rPr>
      </w:pPr>
      <w:r>
        <w:rPr>
          <w:rFonts w:ascii="Times New Roman" w:hAnsi="Times New Roman"/>
          <w:b/>
          <w:caps w:val="false"/>
          <w:smallCaps w:val="false"/>
          <w:sz w:val="22"/>
        </w:rPr>
        <w:t>Contents</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4935" w:type="dxa"/>
        <w:jc w:val="left"/>
        <w:tblInd w:w="0" w:type="dxa"/>
        <w:tblLayout w:type="fixed"/>
        <w:tblCellMar>
          <w:top w:w="0" w:type="dxa"/>
          <w:left w:w="0" w:type="dxa"/>
          <w:bottom w:w="0" w:type="dxa"/>
          <w:right w:w="0" w:type="dxa"/>
        </w:tblCellMar>
      </w:tblPr>
      <w:tblGrid>
        <w:gridCol w:w="890"/>
        <w:gridCol w:w="3905"/>
        <w:gridCol w:w="140"/>
      </w:tblGrid>
      <w:tr>
        <w:trPr/>
        <w:tc>
          <w:tcPr>
            <w:tcW w:w="8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Article 1.</w:t>
            </w:r>
          </w:p>
        </w:tc>
        <w:tc>
          <w:tcPr>
            <w:tcW w:w="39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Performance Period</w:t>
            </w:r>
          </w:p>
        </w:tc>
        <w:tc>
          <w:tcPr>
            <w:tcW w:w="1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r>
      <w:tr>
        <w:trPr/>
        <w:tc>
          <w:tcPr>
            <w:tcW w:w="8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Article 2.</w:t>
            </w:r>
          </w:p>
        </w:tc>
        <w:tc>
          <w:tcPr>
            <w:tcW w:w="39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Value of PSUs</w:t>
            </w:r>
          </w:p>
        </w:tc>
        <w:tc>
          <w:tcPr>
            <w:tcW w:w="1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r>
      <w:tr>
        <w:trPr/>
        <w:tc>
          <w:tcPr>
            <w:tcW w:w="8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Article 3.</w:t>
            </w:r>
          </w:p>
        </w:tc>
        <w:tc>
          <w:tcPr>
            <w:tcW w:w="39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PSUs and Achievement of Performance Measure</w:t>
            </w:r>
          </w:p>
        </w:tc>
        <w:tc>
          <w:tcPr>
            <w:tcW w:w="1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r>
      <w:tr>
        <w:trPr/>
        <w:tc>
          <w:tcPr>
            <w:tcW w:w="8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Article 4.</w:t>
            </w:r>
          </w:p>
        </w:tc>
        <w:tc>
          <w:tcPr>
            <w:tcW w:w="39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Termination Provisions</w:t>
            </w:r>
          </w:p>
        </w:tc>
        <w:tc>
          <w:tcPr>
            <w:tcW w:w="1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8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Article 5.</w:t>
            </w:r>
          </w:p>
        </w:tc>
        <w:tc>
          <w:tcPr>
            <w:tcW w:w="39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Control</w:t>
            </w:r>
          </w:p>
        </w:tc>
        <w:tc>
          <w:tcPr>
            <w:tcW w:w="1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8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Article 6.</w:t>
            </w:r>
          </w:p>
        </w:tc>
        <w:tc>
          <w:tcPr>
            <w:tcW w:w="39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w:t>
            </w:r>
          </w:p>
        </w:tc>
        <w:tc>
          <w:tcPr>
            <w:tcW w:w="1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r>
      <w:tr>
        <w:trPr/>
        <w:tc>
          <w:tcPr>
            <w:tcW w:w="8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Article 7.</w:t>
            </w:r>
          </w:p>
        </w:tc>
        <w:tc>
          <w:tcPr>
            <w:tcW w:w="39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Form and Timing of Payment of PSUs</w:t>
            </w:r>
          </w:p>
        </w:tc>
        <w:tc>
          <w:tcPr>
            <w:tcW w:w="1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r>
      <w:tr>
        <w:trPr/>
        <w:tc>
          <w:tcPr>
            <w:tcW w:w="8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Article 8.</w:t>
            </w:r>
          </w:p>
        </w:tc>
        <w:tc>
          <w:tcPr>
            <w:tcW w:w="39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Nontransferability</w:t>
            </w:r>
          </w:p>
        </w:tc>
        <w:tc>
          <w:tcPr>
            <w:tcW w:w="1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r>
      <w:tr>
        <w:trPr/>
        <w:tc>
          <w:tcPr>
            <w:tcW w:w="8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Article 9.</w:t>
            </w:r>
          </w:p>
        </w:tc>
        <w:tc>
          <w:tcPr>
            <w:tcW w:w="39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Administration</w:t>
            </w:r>
          </w:p>
        </w:tc>
        <w:tc>
          <w:tcPr>
            <w:tcW w:w="1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r>
      <w:tr>
        <w:trPr/>
        <w:tc>
          <w:tcPr>
            <w:tcW w:w="8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Article 10.</w:t>
            </w:r>
          </w:p>
        </w:tc>
        <w:tc>
          <w:tcPr>
            <w:tcW w:w="39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Miscellaneous</w:t>
            </w:r>
          </w:p>
        </w:tc>
        <w:tc>
          <w:tcPr>
            <w:tcW w:w="1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RBB Bancorp</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2017 Omnibus Stock Incentive Plan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Performance Stock Unit Award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You have been selected to be a participant in the RBB Bancorp 2017 Omnibus Stock Incentive Plan (the “Plan”), as specified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Participant:</w:t>
      </w:r>
      <w:r>
        <w:rPr>
          <w:rFonts w:ascii="Times New Roman" w:hAnsi="Times New Roman"/>
          <w:caps w:val="false"/>
          <w:smallCaps w:val="false"/>
          <w:sz w:val="20"/>
        </w:rPr>
        <w:t> </w:t>
      </w:r>
      <w:r>
        <w:rPr>
          <w:rFonts w:ascii="Times New Roman" w:hAnsi="Times New Roman"/>
          <w:caps w:val="false"/>
          <w:smallCaps w:val="false"/>
          <w:sz w:val="20"/>
          <w:u w:val="singl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Target Performance Stock Unit (PSU) Award:</w:t>
      </w:r>
      <w:r>
        <w:rPr>
          <w:rFonts w:ascii="Times New Roman" w:hAnsi="Times New Roman"/>
          <w:caps w:val="false"/>
          <w:smallCaps w:val="false"/>
          <w:sz w:val="20"/>
        </w:rPr>
        <w:t> </w:t>
      </w:r>
      <w:r>
        <w:rPr>
          <w:rFonts w:ascii="Times New Roman" w:hAnsi="Times New Roman"/>
          <w:caps w:val="false"/>
          <w:smallCaps w:val="false"/>
          <w:sz w:val="20"/>
          <w:u w:val="single"/>
        </w:rPr>
        <w:t>                            </w:t>
      </w:r>
      <w:r>
        <w:rPr>
          <w:rFonts w:ascii="Times New Roman" w:hAnsi="Times New Roman"/>
          <w:caps w:val="false"/>
          <w:smallCaps w:val="false"/>
          <w:sz w:val="20"/>
        </w:rPr>
        <w:t>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Performance Period:</w:t>
      </w:r>
      <w:r>
        <w:rPr>
          <w:rFonts w:ascii="Times New Roman" w:hAnsi="Times New Roman"/>
          <w:caps w:val="false"/>
          <w:smallCaps w:val="false"/>
          <w:sz w:val="20"/>
        </w:rPr>
        <w:t>    ______________ to 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Performance Measures</w:t>
      </w:r>
      <w:r>
        <w:rPr>
          <w:rFonts w:ascii="Times New Roman" w:hAnsi="Times New Roman"/>
          <w:caps w:val="false"/>
          <w:smallCaps w:val="false"/>
          <w:sz w:val="20"/>
        </w:rPr>
        <w:t>:    Total Shareholder Return (“TSR”); Return on Average Tangible Common Equity (“ROATCE”); and Return of Average Assets (“ROAA”)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4"/>
        <w:gridCol w:w="9231"/>
      </w:tblGrid>
      <w:tr>
        <w:trPr/>
        <w:tc>
          <w:tcPr>
            <w:tcW w:w="9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Peer Index</w:t>
            </w:r>
            <w:r>
              <w:rPr>
                <w:rFonts w:ascii="Times New Roman;Times;serif" w:hAnsi="Times New Roman;Times;serif"/>
                <w:sz w:val="20"/>
              </w:rPr>
              <w:t>:</w:t>
            </w:r>
          </w:p>
        </w:tc>
        <w:tc>
          <w:tcPr>
            <w:tcW w:w="9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Annual Stock Performance Report prepared by Pearl Meyer using RBB Bancorp peer group as of ___________, 20__ and included as an Exhibit to this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AGREEMENT (the “Agreement”) effective [____], 20__, represents the grant of performance-based Stock Units (“PSUs”) by RBB Bancorp, a California corporation (the “Company”), to the Participant named above, pursuant to the provisions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Plan provides a complete description of the terms and conditions governing the PSUs. If there is any inconsistency between the terms of this Agreement and the terms of the Plan, the Plan’s terms shall completely supersede and replace the conflicting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All capitalized terms shall have the meanings ascribed to them in the Plan, unless specifically set forth otherwise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parties hereto agree as follows:</w:t>
      </w:r>
    </w:p>
    <w:p>
      <w:pPr>
        <w:pStyle w:val="TextBody"/>
        <w:bidi w:val="0"/>
        <w:spacing w:before="0" w:after="0"/>
        <w:ind w:left="0" w:right="0" w:hanging="0"/>
        <w:jc w:val="left"/>
        <w:rPr>
          <w:caps w:val="false"/>
          <w:smallCaps w:val="false"/>
        </w:rPr>
      </w:pPr>
      <w:r>
        <w:rPr>
          <w:caps w:val="false"/>
          <w:smallCaps w:val="false"/>
        </w:rPr>
        <w:t> </w:t>
      </w:r>
    </w:p>
    <w:tbl>
      <w:tblPr>
        <w:tblW w:w="2545" w:type="dxa"/>
        <w:jc w:val="left"/>
        <w:tblInd w:w="0" w:type="dxa"/>
        <w:tblLayout w:type="fixed"/>
        <w:tblCellMar>
          <w:top w:w="0" w:type="dxa"/>
          <w:left w:w="0" w:type="dxa"/>
          <w:bottom w:w="0" w:type="dxa"/>
          <w:right w:w="0" w:type="dxa"/>
        </w:tblCellMar>
      </w:tblPr>
      <w:tblGrid>
        <w:gridCol w:w="800"/>
        <w:gridCol w:w="1745"/>
      </w:tblGrid>
      <w:tr>
        <w:trPr/>
        <w:tc>
          <w:tcPr>
            <w:tcW w:w="80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Article 1.</w:t>
            </w:r>
          </w:p>
        </w:tc>
        <w:tc>
          <w:tcPr>
            <w:tcW w:w="174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Performance Period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Performance Period commences on ________________ and ends on  _________________.</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800"/>
        <w:gridCol w:w="1205"/>
      </w:tblGrid>
      <w:tr>
        <w:trPr/>
        <w:tc>
          <w:tcPr>
            <w:tcW w:w="80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Article 2.</w:t>
            </w:r>
          </w:p>
        </w:tc>
        <w:tc>
          <w:tcPr>
            <w:tcW w:w="12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Value of PSUs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Each PSU shall represent and have a value equal to one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4900" w:type="dxa"/>
        <w:jc w:val="left"/>
        <w:tblInd w:w="0" w:type="dxa"/>
        <w:tblLayout w:type="fixed"/>
        <w:tblCellMar>
          <w:top w:w="0" w:type="dxa"/>
          <w:left w:w="0" w:type="dxa"/>
          <w:bottom w:w="0" w:type="dxa"/>
          <w:right w:w="0" w:type="dxa"/>
        </w:tblCellMar>
      </w:tblPr>
      <w:tblGrid>
        <w:gridCol w:w="800"/>
        <w:gridCol w:w="4100"/>
      </w:tblGrid>
      <w:tr>
        <w:trPr/>
        <w:tc>
          <w:tcPr>
            <w:tcW w:w="80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Article 3.</w:t>
            </w:r>
          </w:p>
        </w:tc>
        <w:tc>
          <w:tcPr>
            <w:tcW w:w="410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PSUs and Achievement of Performance Measure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Performance Metrics will be calculated and the payout percentage by Performance Metric will be measured by the end of the first quarter of the year following the conclusion of the Performance Period. The PSUs will be converted to shares of Company common stock based on the achievement of the performance metrics and after certification of such achievement by the Compensation Committee of the Board.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4"/>
        <w:gridCol w:w="9951"/>
      </w:tblGrid>
      <w:tr>
        <w:trPr/>
        <w:tc>
          <w:tcPr>
            <w:tcW w:w="6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995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Total Shareholder Return (TSR) is weighted __% of the PSU Award. The number of PSUs to be earned under this Agreement shall be based upon the achievement of pre-established TSR performance goals as set by the Board for the Performance Period, based on the following chart:</w:t>
            </w:r>
          </w:p>
        </w:tc>
      </w:tr>
    </w:tbl>
    <w:p>
      <w:pPr>
        <w:pStyle w:val="TextBody"/>
        <w:bidi w:val="0"/>
        <w:spacing w:before="0" w:after="0"/>
        <w:ind w:left="0" w:right="0" w:hanging="0"/>
        <w:jc w:val="left"/>
        <w:rPr>
          <w:caps w:val="false"/>
          <w:smallCaps w:val="false"/>
        </w:rPr>
      </w:pPr>
      <w:r>
        <w:rPr>
          <w:caps w:val="false"/>
          <w:smallCaps w:val="false"/>
        </w:rPr>
        <w:t> </w:t>
      </w:r>
    </w:p>
    <w:tbl>
      <w:tblPr>
        <w:tblW w:w="4019" w:type="dxa"/>
        <w:jc w:val="left"/>
        <w:tblInd w:w="0" w:type="dxa"/>
        <w:tblLayout w:type="fixed"/>
        <w:tblCellMar>
          <w:top w:w="0" w:type="dxa"/>
          <w:left w:w="0" w:type="dxa"/>
          <w:bottom w:w="28" w:type="dxa"/>
          <w:right w:w="0" w:type="dxa"/>
        </w:tblCellMar>
      </w:tblPr>
      <w:tblGrid>
        <w:gridCol w:w="2690"/>
        <w:gridCol w:w="60"/>
        <w:gridCol w:w="351"/>
        <w:gridCol w:w="733"/>
        <w:gridCol w:w="185"/>
      </w:tblGrid>
      <w:tr>
        <w:trPr/>
        <w:tc>
          <w:tcPr>
            <w:tcW w:w="269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TSR Performance</w:t>
              <w:br/>
              <w:t>Relative to Companies</w:t>
              <w:br/>
              <w:t>in Peer Index for fiscal year 20__</w:t>
            </w:r>
            <w:bookmarkStart w:id="26" w:name=".lead.D2"/>
            <w:bookmarkEnd w:id="26"/>
          </w:p>
        </w:tc>
        <w:tc>
          <w:tcPr>
            <w:tcW w:w="60" w:type="dxa"/>
            <w:tcBorders>
              <w:bottom w:val="single" w:sz="2" w:space="0" w:color="000000"/>
            </w:tcBorders>
            <w:vAlign w:val="center"/>
          </w:tcPr>
          <w:p>
            <w:pPr>
              <w:pStyle w:val="TableContents"/>
              <w:bidi w:val="0"/>
              <w:spacing w:before="0" w:after="283"/>
              <w:ind w:left="0" w:right="0" w:hanging="0"/>
              <w:jc w:val="left"/>
              <w:rPr/>
            </w:pPr>
            <w:r>
              <w:rPr/>
              <w:t> </w:t>
            </w:r>
            <w:bookmarkStart w:id="27" w:name=".amt.D2"/>
            <w:bookmarkEnd w:id="27"/>
          </w:p>
        </w:tc>
        <w:tc>
          <w:tcPr>
            <w:tcW w:w="108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Payout</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 of Target)</w:t>
            </w:r>
            <w:bookmarkStart w:id="28" w:name=".trail.D2"/>
            <w:bookmarkEnd w:id="28"/>
          </w:p>
        </w:tc>
        <w:tc>
          <w:tcPr>
            <w:tcW w:w="185" w:type="dxa"/>
            <w:tcBorders/>
            <w:tcMar>
              <w:bottom w:w="0" w:type="dxa"/>
            </w:tcMar>
            <w:vAlign w:val="center"/>
          </w:tcPr>
          <w:p>
            <w:pPr>
              <w:pStyle w:val="TableContents"/>
              <w:bidi w:val="0"/>
              <w:spacing w:before="0" w:after="283"/>
              <w:jc w:val="left"/>
              <w:rPr/>
            </w:pPr>
            <w:r>
              <w:rPr/>
              <w:t> </w:t>
            </w:r>
          </w:p>
        </w:tc>
      </w:tr>
      <w:tr>
        <w:trPr/>
        <w:tc>
          <w:tcPr>
            <w:tcW w:w="2690" w:type="dxa"/>
            <w:tcBorders/>
            <w:tcMar>
              <w:bottom w:w="0" w:type="dxa"/>
            </w:tcMar>
            <w:vAlign w:val="center"/>
          </w:tcPr>
          <w:p>
            <w:pPr>
              <w:pStyle w:val="TableContents"/>
              <w:bidi w:val="0"/>
              <w:spacing w:before="0" w:after="283"/>
              <w:jc w:val="left"/>
              <w:rPr/>
            </w:pPr>
            <w:r>
              <w:rPr/>
              <w:t> </w:t>
            </w:r>
            <w:bookmarkStart w:id="29" w:name=".lead.B2"/>
            <w:bookmarkEnd w:id="29"/>
          </w:p>
        </w:tc>
        <w:tc>
          <w:tcPr>
            <w:tcW w:w="60" w:type="dxa"/>
            <w:tcBorders/>
            <w:tcMar>
              <w:bottom w:w="0" w:type="dxa"/>
            </w:tcMar>
            <w:vAlign w:val="center"/>
          </w:tcPr>
          <w:p>
            <w:pPr>
              <w:pStyle w:val="TableContents"/>
              <w:bidi w:val="0"/>
              <w:spacing w:before="0" w:after="283"/>
              <w:jc w:val="left"/>
              <w:rPr/>
            </w:pPr>
            <w:r>
              <w:rPr/>
              <w:t> </w:t>
            </w:r>
            <w:bookmarkStart w:id="30" w:name=".symb.B2"/>
            <w:bookmarkEnd w:id="30"/>
          </w:p>
        </w:tc>
        <w:tc>
          <w:tcPr>
            <w:tcW w:w="351" w:type="dxa"/>
            <w:tcBorders/>
            <w:tcMar>
              <w:bottom w:w="0" w:type="dxa"/>
            </w:tcMar>
            <w:vAlign w:val="center"/>
          </w:tcPr>
          <w:p>
            <w:pPr>
              <w:pStyle w:val="TableContents"/>
              <w:bidi w:val="0"/>
              <w:spacing w:before="0" w:after="283"/>
              <w:jc w:val="left"/>
              <w:rPr/>
            </w:pPr>
            <w:r>
              <w:rPr/>
              <w:t> </w:t>
            </w:r>
            <w:bookmarkStart w:id="31" w:name=".amt.B2"/>
            <w:bookmarkEnd w:id="31"/>
          </w:p>
        </w:tc>
        <w:tc>
          <w:tcPr>
            <w:tcW w:w="733" w:type="dxa"/>
            <w:tcBorders/>
            <w:tcMar>
              <w:bottom w:w="0" w:type="dxa"/>
            </w:tcMar>
            <w:vAlign w:val="center"/>
          </w:tcPr>
          <w:p>
            <w:pPr>
              <w:pStyle w:val="TableContents"/>
              <w:bidi w:val="0"/>
              <w:spacing w:before="0" w:after="283"/>
              <w:jc w:val="left"/>
              <w:rPr/>
            </w:pPr>
            <w:r>
              <w:rPr/>
              <w:t> </w:t>
            </w:r>
            <w:bookmarkStart w:id="32" w:name=".trail.B2"/>
            <w:bookmarkEnd w:id="32"/>
          </w:p>
        </w:tc>
        <w:tc>
          <w:tcPr>
            <w:tcW w:w="185" w:type="dxa"/>
            <w:tcBorders/>
            <w:tcMar>
              <w:bottom w:w="0" w:type="dxa"/>
            </w:tcMar>
            <w:vAlign w:val="center"/>
          </w:tcPr>
          <w:p>
            <w:pPr>
              <w:pStyle w:val="TableContents"/>
              <w:bidi w:val="0"/>
              <w:spacing w:before="0" w:after="283"/>
              <w:jc w:val="left"/>
              <w:rPr/>
            </w:pPr>
            <w:r>
              <w:rPr/>
              <w:t> </w:t>
            </w:r>
          </w:p>
        </w:tc>
      </w:tr>
      <w:tr>
        <w:trPr/>
        <w:tc>
          <w:tcPr>
            <w:tcW w:w="26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1" w:type="dxa"/>
            <w:tcBorders/>
            <w:tcMar>
              <w:bottom w:w="0" w:type="dxa"/>
            </w:tcMar>
            <w:vAlign w:val="center"/>
          </w:tcPr>
          <w:p>
            <w:pPr>
              <w:pStyle w:val="TableContents"/>
              <w:bidi w:val="0"/>
              <w:spacing w:before="0" w:after="283"/>
              <w:jc w:val="left"/>
              <w:rPr/>
            </w:pPr>
            <w:r>
              <w:rPr/>
              <w:t> </w:t>
            </w:r>
          </w:p>
        </w:tc>
        <w:tc>
          <w:tcPr>
            <w:tcW w:w="733" w:type="dxa"/>
            <w:tcBorders/>
            <w:tcMar>
              <w:bottom w:w="0" w:type="dxa"/>
            </w:tcMar>
            <w:vAlign w:val="center"/>
          </w:tcPr>
          <w:p>
            <w:pPr>
              <w:pStyle w:val="TableContents"/>
              <w:bidi w:val="0"/>
              <w:spacing w:before="0" w:after="283"/>
              <w:jc w:val="left"/>
              <w:rPr/>
            </w:pPr>
            <w:r>
              <w:rPr/>
              <w:t> </w:t>
            </w:r>
          </w:p>
        </w:tc>
        <w:tc>
          <w:tcPr>
            <w:tcW w:w="185" w:type="dxa"/>
            <w:tcBorders/>
            <w:tcMar>
              <w:bottom w:w="0" w:type="dxa"/>
            </w:tcMar>
            <w:vAlign w:val="center"/>
          </w:tcPr>
          <w:p>
            <w:pPr>
              <w:pStyle w:val="TableContents"/>
              <w:bidi w:val="0"/>
              <w:spacing w:before="0" w:after="283"/>
              <w:jc w:val="left"/>
              <w:rPr/>
            </w:pPr>
            <w:r>
              <w:rPr/>
              <w:t> </w:t>
            </w:r>
          </w:p>
        </w:tc>
      </w:tr>
      <w:tr>
        <w:trPr/>
        <w:tc>
          <w:tcPr>
            <w:tcW w:w="26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Below __th Percentile</w:t>
            </w:r>
            <w:bookmarkStart w:id="33" w:name=".lead.2"/>
            <w:bookmarkEnd w:id="33"/>
          </w:p>
        </w:tc>
        <w:tc>
          <w:tcPr>
            <w:tcW w:w="60" w:type="dxa"/>
            <w:tcBorders/>
            <w:shd w:fill="CCEEFF" w:val="clear"/>
            <w:tcMar>
              <w:bottom w:w="0" w:type="dxa"/>
            </w:tcMar>
            <w:vAlign w:val="center"/>
          </w:tcPr>
          <w:p>
            <w:pPr>
              <w:pStyle w:val="TableContents"/>
              <w:bidi w:val="0"/>
              <w:spacing w:before="0" w:after="283"/>
              <w:jc w:val="left"/>
              <w:rPr/>
            </w:pPr>
            <w:r>
              <w:rPr/>
              <w:t> </w:t>
            </w:r>
            <w:bookmarkStart w:id="34" w:name=".symb.2"/>
            <w:bookmarkEnd w:id="34"/>
          </w:p>
        </w:tc>
        <w:tc>
          <w:tcPr>
            <w:tcW w:w="351" w:type="dxa"/>
            <w:tcBorders/>
            <w:shd w:fill="CCEEFF" w:val="clear"/>
            <w:tcMar>
              <w:bottom w:w="0" w:type="dxa"/>
            </w:tcMar>
            <w:vAlign w:val="center"/>
          </w:tcPr>
          <w:p>
            <w:pPr>
              <w:pStyle w:val="TableContents"/>
              <w:bidi w:val="0"/>
              <w:spacing w:before="0" w:after="283"/>
              <w:ind w:left="0" w:right="0" w:hanging="0"/>
              <w:jc w:val="left"/>
              <w:rPr/>
            </w:pPr>
            <w:r>
              <w:rPr/>
              <w:t> </w:t>
            </w:r>
            <w:bookmarkStart w:id="35" w:name=".amt.2"/>
            <w:bookmarkEnd w:id="35"/>
          </w:p>
        </w:tc>
        <w:tc>
          <w:tcPr>
            <w:tcW w:w="73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___</w:t>
            </w:r>
            <w:bookmarkStart w:id="36" w:name=".trail.2"/>
            <w:bookmarkEnd w:id="36"/>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9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__th Percentile</w:t>
            </w:r>
            <w:bookmarkStart w:id="37" w:name=".lead.21"/>
            <w:bookmarkStart w:id="38" w:name=".lead.22"/>
            <w:bookmarkEnd w:id="37"/>
            <w:bookmarkEnd w:id="38"/>
          </w:p>
        </w:tc>
        <w:tc>
          <w:tcPr>
            <w:tcW w:w="60" w:type="dxa"/>
            <w:tcBorders/>
            <w:shd w:fill="FFFFFF" w:val="clear"/>
            <w:tcMar>
              <w:bottom w:w="0" w:type="dxa"/>
            </w:tcMar>
            <w:vAlign w:val="center"/>
          </w:tcPr>
          <w:p>
            <w:pPr>
              <w:pStyle w:val="TableContents"/>
              <w:bidi w:val="0"/>
              <w:spacing w:before="0" w:after="283"/>
              <w:jc w:val="left"/>
              <w:rPr/>
            </w:pPr>
            <w:r>
              <w:rPr/>
              <w:t> </w:t>
            </w:r>
            <w:bookmarkStart w:id="39" w:name=".symb.21"/>
            <w:bookmarkStart w:id="40" w:name=".symb.22"/>
            <w:bookmarkEnd w:id="39"/>
            <w:bookmarkEnd w:id="40"/>
          </w:p>
        </w:tc>
        <w:tc>
          <w:tcPr>
            <w:tcW w:w="351" w:type="dxa"/>
            <w:tcBorders/>
            <w:shd w:fill="FFFFFF" w:val="clear"/>
            <w:tcMar>
              <w:bottom w:w="0" w:type="dxa"/>
            </w:tcMar>
            <w:vAlign w:val="center"/>
          </w:tcPr>
          <w:p>
            <w:pPr>
              <w:pStyle w:val="TableContents"/>
              <w:bidi w:val="0"/>
              <w:spacing w:before="0" w:after="283"/>
              <w:ind w:left="0" w:right="0" w:hanging="0"/>
              <w:jc w:val="left"/>
              <w:rPr/>
            </w:pPr>
            <w:r>
              <w:rPr/>
              <w:t> </w:t>
            </w:r>
            <w:bookmarkStart w:id="41" w:name=".amt.21"/>
            <w:bookmarkStart w:id="42" w:name=".amt.22"/>
            <w:bookmarkEnd w:id="41"/>
            <w:bookmarkEnd w:id="42"/>
          </w:p>
        </w:tc>
        <w:tc>
          <w:tcPr>
            <w:tcW w:w="73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___</w:t>
            </w:r>
            <w:bookmarkStart w:id="43" w:name=".trail.21"/>
            <w:bookmarkStart w:id="44" w:name=".trail.22"/>
            <w:bookmarkEnd w:id="43"/>
            <w:bookmarkEnd w:id="44"/>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9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__th Percentile</w:t>
            </w:r>
            <w:bookmarkStart w:id="45" w:name=".lead.23"/>
            <w:bookmarkStart w:id="46" w:name=".lead.24"/>
            <w:bookmarkEnd w:id="45"/>
            <w:bookmarkEnd w:id="46"/>
          </w:p>
        </w:tc>
        <w:tc>
          <w:tcPr>
            <w:tcW w:w="60" w:type="dxa"/>
            <w:tcBorders/>
            <w:shd w:fill="CCEEFF" w:val="clear"/>
            <w:tcMar>
              <w:bottom w:w="0" w:type="dxa"/>
            </w:tcMar>
            <w:vAlign w:val="center"/>
          </w:tcPr>
          <w:p>
            <w:pPr>
              <w:pStyle w:val="TableContents"/>
              <w:bidi w:val="0"/>
              <w:spacing w:before="0" w:after="283"/>
              <w:jc w:val="left"/>
              <w:rPr/>
            </w:pPr>
            <w:r>
              <w:rPr/>
              <w:t> </w:t>
            </w:r>
            <w:bookmarkStart w:id="47" w:name=".symb.23"/>
            <w:bookmarkStart w:id="48" w:name=".symb.24"/>
            <w:bookmarkEnd w:id="47"/>
            <w:bookmarkEnd w:id="48"/>
          </w:p>
        </w:tc>
        <w:tc>
          <w:tcPr>
            <w:tcW w:w="351" w:type="dxa"/>
            <w:tcBorders/>
            <w:shd w:fill="CCEEFF" w:val="clear"/>
            <w:tcMar>
              <w:bottom w:w="0" w:type="dxa"/>
            </w:tcMar>
            <w:vAlign w:val="center"/>
          </w:tcPr>
          <w:p>
            <w:pPr>
              <w:pStyle w:val="TableContents"/>
              <w:bidi w:val="0"/>
              <w:spacing w:before="0" w:after="283"/>
              <w:ind w:left="0" w:right="0" w:hanging="0"/>
              <w:jc w:val="left"/>
              <w:rPr/>
            </w:pPr>
            <w:r>
              <w:rPr/>
              <w:t> </w:t>
            </w:r>
            <w:bookmarkStart w:id="49" w:name=".amt.23"/>
            <w:bookmarkStart w:id="50" w:name=".amt.24"/>
            <w:bookmarkEnd w:id="49"/>
            <w:bookmarkEnd w:id="50"/>
          </w:p>
        </w:tc>
        <w:tc>
          <w:tcPr>
            <w:tcW w:w="73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___</w:t>
            </w:r>
            <w:bookmarkStart w:id="51" w:name=".trail.23"/>
            <w:bookmarkStart w:id="52" w:name=".trail.24"/>
            <w:bookmarkEnd w:id="51"/>
            <w:bookmarkEnd w:id="52"/>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9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__th Percentile</w:t>
            </w:r>
            <w:bookmarkStart w:id="53" w:name=".lead.25"/>
            <w:bookmarkStart w:id="54" w:name=".lead.26"/>
            <w:bookmarkEnd w:id="53"/>
            <w:bookmarkEnd w:id="54"/>
          </w:p>
        </w:tc>
        <w:tc>
          <w:tcPr>
            <w:tcW w:w="60" w:type="dxa"/>
            <w:tcBorders/>
            <w:shd w:fill="FFFFFF" w:val="clear"/>
            <w:tcMar>
              <w:bottom w:w="0" w:type="dxa"/>
            </w:tcMar>
            <w:vAlign w:val="center"/>
          </w:tcPr>
          <w:p>
            <w:pPr>
              <w:pStyle w:val="TableContents"/>
              <w:bidi w:val="0"/>
              <w:spacing w:before="0" w:after="283"/>
              <w:jc w:val="left"/>
              <w:rPr/>
            </w:pPr>
            <w:r>
              <w:rPr/>
              <w:t> </w:t>
            </w:r>
            <w:bookmarkStart w:id="55" w:name=".symb.25"/>
            <w:bookmarkStart w:id="56" w:name=".symb.26"/>
            <w:bookmarkEnd w:id="55"/>
            <w:bookmarkEnd w:id="56"/>
          </w:p>
        </w:tc>
        <w:tc>
          <w:tcPr>
            <w:tcW w:w="351" w:type="dxa"/>
            <w:tcBorders/>
            <w:shd w:fill="FFFFFF" w:val="clear"/>
            <w:tcMar>
              <w:bottom w:w="0" w:type="dxa"/>
            </w:tcMar>
            <w:vAlign w:val="center"/>
          </w:tcPr>
          <w:p>
            <w:pPr>
              <w:pStyle w:val="TableContents"/>
              <w:bidi w:val="0"/>
              <w:spacing w:before="0" w:after="283"/>
              <w:ind w:left="0" w:right="0" w:hanging="0"/>
              <w:jc w:val="left"/>
              <w:rPr/>
            </w:pPr>
            <w:r>
              <w:rPr/>
              <w:t> </w:t>
            </w:r>
            <w:bookmarkStart w:id="57" w:name=".amt.25"/>
            <w:bookmarkStart w:id="58" w:name=".amt.26"/>
            <w:bookmarkEnd w:id="57"/>
            <w:bookmarkEnd w:id="58"/>
          </w:p>
        </w:tc>
        <w:tc>
          <w:tcPr>
            <w:tcW w:w="73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___</w:t>
            </w:r>
            <w:bookmarkStart w:id="59" w:name=".trail.25"/>
            <w:bookmarkStart w:id="60" w:name=".trail.26"/>
            <w:bookmarkEnd w:id="59"/>
            <w:bookmarkEnd w:id="60"/>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Interpolation shall be used to determine the percentile rank in the event the Company’s Percentile Rank does not fall directly on one of the ranks listed in the above chart.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this purpose, Total Shareholder Return shall be determined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firstLine="180"/>
        <w:jc w:val="left"/>
        <w:rPr>
          <w:rFonts w:ascii="Times New Roman" w:hAnsi="Times New Roman"/>
          <w:caps w:val="false"/>
          <w:smallCaps w:val="false"/>
          <w:sz w:val="20"/>
        </w:rPr>
      </w:pPr>
      <w:r>
        <w:rPr>
          <w:rFonts w:ascii="Times New Roman" w:hAnsi="Times New Roman"/>
          <w:caps w:val="false"/>
          <w:smallCaps w:val="false"/>
          <w:sz w:val="20"/>
        </w:rPr>
        <w:t>Total Shareholder         =         </w:t>
      </w:r>
      <w:r>
        <w:rPr>
          <w:rFonts w:ascii="Times New Roman" w:hAnsi="Times New Roman"/>
          <w:caps w:val="false"/>
          <w:smallCaps w:val="false"/>
          <w:sz w:val="20"/>
          <w:u w:val="single"/>
        </w:rPr>
        <w:t>Change in Stock Price + Dividends Paid</w:t>
      </w:r>
    </w:p>
    <w:p>
      <w:pPr>
        <w:pStyle w:val="TextBody"/>
        <w:bidi w:val="0"/>
        <w:spacing w:before="0" w:after="0"/>
        <w:ind w:left="900" w:right="0" w:firstLine="180"/>
        <w:jc w:val="left"/>
        <w:rPr>
          <w:rFonts w:ascii="Times New Roman" w:hAnsi="Times New Roman"/>
          <w:caps w:val="false"/>
          <w:smallCaps w:val="false"/>
          <w:sz w:val="20"/>
        </w:rPr>
      </w:pPr>
      <w:r>
        <w:rPr>
          <w:rFonts w:ascii="Times New Roman" w:hAnsi="Times New Roman"/>
          <w:caps w:val="false"/>
          <w:smallCaps w:val="false"/>
          <w:sz w:val="20"/>
        </w:rPr>
        <w:t>Return                                      Beginning Stock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Beginning Stock Price shall mean the average closing price on the applicable stock exchange of one Share for the twenty (20) trading days immediately prior to the first day of the first fiscal year of the Performance Period; Ending Stock Price shall mean the average closing price on the applicable stock exchange of one Share for the twenty (20) trading days immediately prior to the last day of the Performance Period; Change in Stock Price shall mean the difference between the Beginning Stock Price and the Ending Stock Price; and Dividends Paid shall mean the total of all dividends paid on one (1) Share during the Performance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Following the Total Shareholder Return measurement, the Company’s Percentile Rank shall be determined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Percentile Rank shall be determined by listing from highest Total Shareholder Return to lowest Total Shareholder Return for each company in the Peer Index (including the Company). The Company’s Percentile Rank shall equal (N-n)/(N-1), where “N” equals the total number of companies in the Peer Index (which for this purpose, shall include the Company) and “n” equals the numerical rank of the Company based on its Total Shareholder Return relative to the Total Shareholder Return of all companies in the Peer Index (which for this purpose, shall include the Company). For example, if there are 16 companies in the Peer Index (including the Company) and the Company has the 4th highest Total Shareholder Return out of all such companies, then “N” would equal 16, “n” would equal 4 and the Company’s Percentile Rank would equal 80.00%. The companies in the Peer Index shall remain constant throughout the entire Performance Period (provided that companies that de-list or are acquired before the last day of the Performance Period will be removed from the Peer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7"/>
        <w:gridCol w:w="9938"/>
      </w:tblGrid>
      <w:tr>
        <w:trPr/>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993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Return on Average Tangible Common Equity (ROATCE) is weighted __% of the PSU Award. The number of PSUs to be earned under this Agreement based upon the achievement of pre-established ROATCE performance goals as set by the Board for the Performance Period is based on the following chart:</w:t>
            </w:r>
          </w:p>
        </w:tc>
      </w:tr>
    </w:tbl>
    <w:p>
      <w:pPr>
        <w:pStyle w:val="TextBody"/>
        <w:bidi w:val="0"/>
        <w:spacing w:before="0" w:after="0"/>
        <w:ind w:left="0" w:right="0" w:hanging="0"/>
        <w:jc w:val="left"/>
        <w:rPr>
          <w:caps w:val="false"/>
          <w:smallCaps w:val="false"/>
        </w:rPr>
      </w:pPr>
      <w:r>
        <w:rPr>
          <w:caps w:val="false"/>
          <w:smallCaps w:val="false"/>
        </w:rPr>
        <w:t> </w:t>
      </w:r>
    </w:p>
    <w:tbl>
      <w:tblPr>
        <w:tblW w:w="3179" w:type="dxa"/>
        <w:jc w:val="left"/>
        <w:tblInd w:w="0" w:type="dxa"/>
        <w:tblLayout w:type="fixed"/>
        <w:tblCellMar>
          <w:top w:w="0" w:type="dxa"/>
          <w:left w:w="0" w:type="dxa"/>
          <w:bottom w:w="28" w:type="dxa"/>
          <w:right w:w="0" w:type="dxa"/>
        </w:tblCellMar>
      </w:tblPr>
      <w:tblGrid>
        <w:gridCol w:w="1850"/>
        <w:gridCol w:w="60"/>
        <w:gridCol w:w="351"/>
        <w:gridCol w:w="733"/>
        <w:gridCol w:w="185"/>
      </w:tblGrid>
      <w:tr>
        <w:trPr/>
        <w:tc>
          <w:tcPr>
            <w:tcW w:w="185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ROATCE Performance</w:t>
              <w:br/>
              <w:t>Goals</w:t>
            </w:r>
            <w:bookmarkStart w:id="61" w:name=".lead.D21"/>
            <w:bookmarkStart w:id="62" w:name=".lead.D22"/>
            <w:bookmarkEnd w:id="61"/>
            <w:bookmarkEnd w:id="62"/>
          </w:p>
        </w:tc>
        <w:tc>
          <w:tcPr>
            <w:tcW w:w="60" w:type="dxa"/>
            <w:tcBorders>
              <w:bottom w:val="single" w:sz="2" w:space="0" w:color="000000"/>
            </w:tcBorders>
            <w:vAlign w:val="center"/>
          </w:tcPr>
          <w:p>
            <w:pPr>
              <w:pStyle w:val="TableContents"/>
              <w:bidi w:val="0"/>
              <w:spacing w:before="0" w:after="283"/>
              <w:ind w:left="0" w:right="0" w:hanging="0"/>
              <w:jc w:val="left"/>
              <w:rPr/>
            </w:pPr>
            <w:r>
              <w:rPr/>
              <w:t> </w:t>
            </w:r>
            <w:bookmarkStart w:id="63" w:name=".amt.D21"/>
            <w:bookmarkStart w:id="64" w:name=".amt.D22"/>
            <w:bookmarkEnd w:id="63"/>
            <w:bookmarkEnd w:id="64"/>
          </w:p>
        </w:tc>
        <w:tc>
          <w:tcPr>
            <w:tcW w:w="108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Payout</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 of Target)</w:t>
            </w:r>
            <w:bookmarkStart w:id="65" w:name=".trail.D21"/>
            <w:bookmarkStart w:id="66" w:name=".trail.D22"/>
            <w:bookmarkEnd w:id="65"/>
            <w:bookmarkEnd w:id="66"/>
          </w:p>
        </w:tc>
        <w:tc>
          <w:tcPr>
            <w:tcW w:w="185" w:type="dxa"/>
            <w:tcBorders/>
            <w:tcMar>
              <w:bottom w:w="0" w:type="dxa"/>
            </w:tcMar>
            <w:vAlign w:val="center"/>
          </w:tcPr>
          <w:p>
            <w:pPr>
              <w:pStyle w:val="TableContents"/>
              <w:bidi w:val="0"/>
              <w:spacing w:before="0" w:after="283"/>
              <w:jc w:val="left"/>
              <w:rPr/>
            </w:pPr>
            <w:r>
              <w:rPr/>
              <w:t> </w:t>
            </w:r>
          </w:p>
        </w:tc>
      </w:tr>
      <w:tr>
        <w:trPr/>
        <w:tc>
          <w:tcPr>
            <w:tcW w:w="185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Below [____]%</w:t>
            </w:r>
            <w:bookmarkStart w:id="67" w:name=".lead.27"/>
            <w:bookmarkStart w:id="68" w:name=".lead.28"/>
            <w:bookmarkEnd w:id="67"/>
            <w:bookmarkEnd w:id="68"/>
          </w:p>
        </w:tc>
        <w:tc>
          <w:tcPr>
            <w:tcW w:w="60" w:type="dxa"/>
            <w:tcBorders/>
            <w:shd w:fill="CCEEFF" w:val="clear"/>
            <w:tcMar>
              <w:bottom w:w="0" w:type="dxa"/>
            </w:tcMar>
            <w:vAlign w:val="center"/>
          </w:tcPr>
          <w:p>
            <w:pPr>
              <w:pStyle w:val="TableContents"/>
              <w:bidi w:val="0"/>
              <w:spacing w:before="0" w:after="283"/>
              <w:jc w:val="left"/>
              <w:rPr/>
            </w:pPr>
            <w:r>
              <w:rPr/>
              <w:t> </w:t>
            </w:r>
            <w:bookmarkStart w:id="69" w:name=".symb.27"/>
            <w:bookmarkStart w:id="70" w:name=".symb.28"/>
            <w:bookmarkEnd w:id="69"/>
            <w:bookmarkEnd w:id="70"/>
          </w:p>
        </w:tc>
        <w:tc>
          <w:tcPr>
            <w:tcW w:w="351" w:type="dxa"/>
            <w:tcBorders/>
            <w:shd w:fill="CCEEFF" w:val="clear"/>
            <w:tcMar>
              <w:bottom w:w="0" w:type="dxa"/>
            </w:tcMar>
            <w:vAlign w:val="center"/>
          </w:tcPr>
          <w:p>
            <w:pPr>
              <w:pStyle w:val="TableContents"/>
              <w:bidi w:val="0"/>
              <w:spacing w:before="0" w:after="283"/>
              <w:ind w:left="0" w:right="0" w:hanging="0"/>
              <w:jc w:val="left"/>
              <w:rPr/>
            </w:pPr>
            <w:r>
              <w:rPr/>
              <w:t> </w:t>
            </w:r>
            <w:bookmarkStart w:id="71" w:name=".amt.27"/>
            <w:bookmarkStart w:id="72" w:name=".amt.28"/>
            <w:bookmarkEnd w:id="71"/>
            <w:bookmarkEnd w:id="72"/>
          </w:p>
        </w:tc>
        <w:tc>
          <w:tcPr>
            <w:tcW w:w="73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___</w:t>
            </w:r>
            <w:bookmarkStart w:id="73" w:name=".trail.27"/>
            <w:bookmarkStart w:id="74" w:name=".trail.28"/>
            <w:bookmarkEnd w:id="73"/>
            <w:bookmarkEnd w:id="74"/>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85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[____]%</w:t>
            </w:r>
            <w:bookmarkStart w:id="75" w:name=".lead.29"/>
            <w:bookmarkStart w:id="76" w:name=".lead.210"/>
            <w:bookmarkEnd w:id="75"/>
            <w:bookmarkEnd w:id="76"/>
          </w:p>
        </w:tc>
        <w:tc>
          <w:tcPr>
            <w:tcW w:w="60" w:type="dxa"/>
            <w:tcBorders/>
            <w:shd w:fill="FFFFFF" w:val="clear"/>
            <w:tcMar>
              <w:bottom w:w="0" w:type="dxa"/>
            </w:tcMar>
            <w:vAlign w:val="center"/>
          </w:tcPr>
          <w:p>
            <w:pPr>
              <w:pStyle w:val="TableContents"/>
              <w:bidi w:val="0"/>
              <w:spacing w:before="0" w:after="283"/>
              <w:jc w:val="left"/>
              <w:rPr/>
            </w:pPr>
            <w:r>
              <w:rPr/>
              <w:t> </w:t>
            </w:r>
            <w:bookmarkStart w:id="77" w:name=".symb.29"/>
            <w:bookmarkStart w:id="78" w:name=".symb.210"/>
            <w:bookmarkEnd w:id="77"/>
            <w:bookmarkEnd w:id="78"/>
          </w:p>
        </w:tc>
        <w:tc>
          <w:tcPr>
            <w:tcW w:w="351" w:type="dxa"/>
            <w:tcBorders/>
            <w:shd w:fill="FFFFFF" w:val="clear"/>
            <w:tcMar>
              <w:bottom w:w="0" w:type="dxa"/>
            </w:tcMar>
            <w:vAlign w:val="center"/>
          </w:tcPr>
          <w:p>
            <w:pPr>
              <w:pStyle w:val="TableContents"/>
              <w:bidi w:val="0"/>
              <w:spacing w:before="0" w:after="283"/>
              <w:ind w:left="0" w:right="0" w:hanging="0"/>
              <w:jc w:val="left"/>
              <w:rPr/>
            </w:pPr>
            <w:r>
              <w:rPr/>
              <w:t> </w:t>
            </w:r>
            <w:bookmarkStart w:id="79" w:name=".amt.29"/>
            <w:bookmarkStart w:id="80" w:name=".amt.210"/>
            <w:bookmarkEnd w:id="79"/>
            <w:bookmarkEnd w:id="80"/>
          </w:p>
        </w:tc>
        <w:tc>
          <w:tcPr>
            <w:tcW w:w="73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___</w:t>
            </w:r>
            <w:bookmarkStart w:id="81" w:name=".trail.29"/>
            <w:bookmarkStart w:id="82" w:name=".trail.210"/>
            <w:bookmarkEnd w:id="81"/>
            <w:bookmarkEnd w:id="82"/>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85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[____]%</w:t>
            </w:r>
            <w:bookmarkStart w:id="83" w:name=".lead.211"/>
            <w:bookmarkStart w:id="84" w:name=".lead.212"/>
            <w:bookmarkEnd w:id="83"/>
            <w:bookmarkEnd w:id="84"/>
          </w:p>
        </w:tc>
        <w:tc>
          <w:tcPr>
            <w:tcW w:w="60" w:type="dxa"/>
            <w:tcBorders/>
            <w:shd w:fill="CCEEFF" w:val="clear"/>
            <w:tcMar>
              <w:bottom w:w="0" w:type="dxa"/>
            </w:tcMar>
            <w:vAlign w:val="center"/>
          </w:tcPr>
          <w:p>
            <w:pPr>
              <w:pStyle w:val="TableContents"/>
              <w:bidi w:val="0"/>
              <w:spacing w:before="0" w:after="283"/>
              <w:jc w:val="left"/>
              <w:rPr/>
            </w:pPr>
            <w:r>
              <w:rPr/>
              <w:t> </w:t>
            </w:r>
            <w:bookmarkStart w:id="85" w:name=".symb.211"/>
            <w:bookmarkStart w:id="86" w:name=".symb.212"/>
            <w:bookmarkEnd w:id="85"/>
            <w:bookmarkEnd w:id="86"/>
          </w:p>
        </w:tc>
        <w:tc>
          <w:tcPr>
            <w:tcW w:w="351" w:type="dxa"/>
            <w:tcBorders/>
            <w:shd w:fill="CCEEFF" w:val="clear"/>
            <w:tcMar>
              <w:bottom w:w="0" w:type="dxa"/>
            </w:tcMar>
            <w:vAlign w:val="center"/>
          </w:tcPr>
          <w:p>
            <w:pPr>
              <w:pStyle w:val="TableContents"/>
              <w:bidi w:val="0"/>
              <w:spacing w:before="0" w:after="283"/>
              <w:ind w:left="0" w:right="0" w:hanging="0"/>
              <w:jc w:val="left"/>
              <w:rPr/>
            </w:pPr>
            <w:r>
              <w:rPr/>
              <w:t> </w:t>
            </w:r>
            <w:bookmarkStart w:id="87" w:name=".amt.211"/>
            <w:bookmarkStart w:id="88" w:name=".amt.212"/>
            <w:bookmarkEnd w:id="87"/>
            <w:bookmarkEnd w:id="88"/>
          </w:p>
        </w:tc>
        <w:tc>
          <w:tcPr>
            <w:tcW w:w="73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___</w:t>
            </w:r>
            <w:bookmarkStart w:id="89" w:name=".trail.211"/>
            <w:bookmarkStart w:id="90" w:name=".trail.212"/>
            <w:bookmarkEnd w:id="89"/>
            <w:bookmarkEnd w:id="90"/>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85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[____]%</w:t>
            </w:r>
            <w:bookmarkStart w:id="91" w:name=".lead.213"/>
            <w:bookmarkStart w:id="92" w:name=".lead.214"/>
            <w:bookmarkEnd w:id="91"/>
            <w:bookmarkEnd w:id="92"/>
          </w:p>
        </w:tc>
        <w:tc>
          <w:tcPr>
            <w:tcW w:w="60" w:type="dxa"/>
            <w:tcBorders/>
            <w:shd w:fill="FFFFFF" w:val="clear"/>
            <w:tcMar>
              <w:bottom w:w="0" w:type="dxa"/>
            </w:tcMar>
            <w:vAlign w:val="center"/>
          </w:tcPr>
          <w:p>
            <w:pPr>
              <w:pStyle w:val="TableContents"/>
              <w:bidi w:val="0"/>
              <w:spacing w:before="0" w:after="283"/>
              <w:jc w:val="left"/>
              <w:rPr/>
            </w:pPr>
            <w:r>
              <w:rPr/>
              <w:t> </w:t>
            </w:r>
            <w:bookmarkStart w:id="93" w:name=".symb.213"/>
            <w:bookmarkStart w:id="94" w:name=".symb.214"/>
            <w:bookmarkEnd w:id="93"/>
            <w:bookmarkEnd w:id="94"/>
          </w:p>
        </w:tc>
        <w:tc>
          <w:tcPr>
            <w:tcW w:w="351" w:type="dxa"/>
            <w:tcBorders/>
            <w:shd w:fill="FFFFFF" w:val="clear"/>
            <w:tcMar>
              <w:bottom w:w="0" w:type="dxa"/>
            </w:tcMar>
            <w:vAlign w:val="center"/>
          </w:tcPr>
          <w:p>
            <w:pPr>
              <w:pStyle w:val="TableContents"/>
              <w:bidi w:val="0"/>
              <w:spacing w:before="0" w:after="283"/>
              <w:ind w:left="0" w:right="0" w:hanging="0"/>
              <w:jc w:val="left"/>
              <w:rPr/>
            </w:pPr>
            <w:r>
              <w:rPr/>
              <w:t> </w:t>
            </w:r>
            <w:bookmarkStart w:id="95" w:name=".amt.213"/>
            <w:bookmarkStart w:id="96" w:name=".amt.214"/>
            <w:bookmarkEnd w:id="95"/>
            <w:bookmarkEnd w:id="96"/>
          </w:p>
        </w:tc>
        <w:tc>
          <w:tcPr>
            <w:tcW w:w="73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___</w:t>
            </w:r>
            <w:bookmarkStart w:id="97" w:name=".trail.213"/>
            <w:bookmarkStart w:id="98" w:name=".trail.214"/>
            <w:bookmarkEnd w:id="97"/>
            <w:bookmarkEnd w:id="98"/>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this purpose, ROATCE shall be determined based on fiscal 20__ net income and calculated as follows: fiscal 20__ net income, subject to Board-approved adjustments, divided by fiscal 20__ average Tangible Common Equity (“TCE”), all as reported in the Company’s Form 10-K for the Company’s fiscal year ending December 31, 20__ (or if no Form 10-K is filed for such year or is not filed by March __, 20__, then ROATCE shall be determined by the Board in good faith based on the Company’s financial statements for the fiscal year ending December 31, 20__).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Interpolation shall be used to determine the ROATCE performance payout percentage in the event the Company’s ROATCE performance does not fall directly on payout percentages shown in the above chart.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4"/>
        <w:gridCol w:w="9951"/>
      </w:tblGrid>
      <w:tr>
        <w:trPr/>
        <w:tc>
          <w:tcPr>
            <w:tcW w:w="6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w:t>
            </w:r>
          </w:p>
        </w:tc>
        <w:tc>
          <w:tcPr>
            <w:tcW w:w="995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Return of Average Assets (ROAA) is weighted __% of the PSU Award. The number of PSUs to be earned under this Agreement based upon the achievement of pre-established ROAA performance goals as set by the Board for the Performance Period is based on the following chart:</w:t>
            </w:r>
          </w:p>
        </w:tc>
      </w:tr>
    </w:tbl>
    <w:p>
      <w:pPr>
        <w:pStyle w:val="TextBody"/>
        <w:bidi w:val="0"/>
        <w:spacing w:before="0" w:after="0"/>
        <w:ind w:left="0" w:right="0" w:hanging="0"/>
        <w:jc w:val="left"/>
        <w:rPr>
          <w:caps w:val="false"/>
          <w:smallCaps w:val="false"/>
        </w:rPr>
      </w:pPr>
      <w:r>
        <w:rPr>
          <w:caps w:val="false"/>
          <w:smallCaps w:val="false"/>
        </w:rPr>
        <w:t> </w:t>
      </w:r>
    </w:p>
    <w:tbl>
      <w:tblPr>
        <w:tblW w:w="2939" w:type="dxa"/>
        <w:jc w:val="left"/>
        <w:tblInd w:w="0" w:type="dxa"/>
        <w:tblLayout w:type="fixed"/>
        <w:tblCellMar>
          <w:top w:w="0" w:type="dxa"/>
          <w:left w:w="0" w:type="dxa"/>
          <w:bottom w:w="28" w:type="dxa"/>
          <w:right w:w="0" w:type="dxa"/>
        </w:tblCellMar>
      </w:tblPr>
      <w:tblGrid>
        <w:gridCol w:w="1610"/>
        <w:gridCol w:w="60"/>
        <w:gridCol w:w="351"/>
        <w:gridCol w:w="733"/>
        <w:gridCol w:w="185"/>
      </w:tblGrid>
      <w:tr>
        <w:trPr/>
        <w:tc>
          <w:tcPr>
            <w:tcW w:w="161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ROAA Performance</w:t>
              <w:br/>
              <w:t>Goals</w:t>
            </w:r>
            <w:bookmarkStart w:id="99" w:name=".lead.D23"/>
            <w:bookmarkStart w:id="100" w:name=".lead.D24"/>
            <w:bookmarkEnd w:id="99"/>
            <w:bookmarkEnd w:id="100"/>
          </w:p>
        </w:tc>
        <w:tc>
          <w:tcPr>
            <w:tcW w:w="60" w:type="dxa"/>
            <w:tcBorders>
              <w:bottom w:val="single" w:sz="2" w:space="0" w:color="000000"/>
            </w:tcBorders>
            <w:vAlign w:val="center"/>
          </w:tcPr>
          <w:p>
            <w:pPr>
              <w:pStyle w:val="TableContents"/>
              <w:bidi w:val="0"/>
              <w:spacing w:before="0" w:after="283"/>
              <w:ind w:left="0" w:right="0" w:hanging="0"/>
              <w:jc w:val="left"/>
              <w:rPr/>
            </w:pPr>
            <w:r>
              <w:rPr/>
              <w:t> </w:t>
            </w:r>
            <w:bookmarkStart w:id="101" w:name=".amt.D23"/>
            <w:bookmarkStart w:id="102" w:name=".amt.D24"/>
            <w:bookmarkEnd w:id="101"/>
            <w:bookmarkEnd w:id="102"/>
          </w:p>
        </w:tc>
        <w:tc>
          <w:tcPr>
            <w:tcW w:w="108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Payout</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 of Target)</w:t>
            </w:r>
            <w:bookmarkStart w:id="103" w:name=".trail.D23"/>
            <w:bookmarkStart w:id="104" w:name=".trail.D24"/>
            <w:bookmarkEnd w:id="103"/>
            <w:bookmarkEnd w:id="104"/>
          </w:p>
        </w:tc>
        <w:tc>
          <w:tcPr>
            <w:tcW w:w="185" w:type="dxa"/>
            <w:tcBorders/>
            <w:tcMar>
              <w:bottom w:w="0" w:type="dxa"/>
            </w:tcMar>
            <w:vAlign w:val="center"/>
          </w:tcPr>
          <w:p>
            <w:pPr>
              <w:pStyle w:val="TableContents"/>
              <w:bidi w:val="0"/>
              <w:spacing w:before="0" w:after="283"/>
              <w:jc w:val="left"/>
              <w:rPr/>
            </w:pPr>
            <w:r>
              <w:rPr/>
              <w:t> </w:t>
            </w:r>
          </w:p>
        </w:tc>
      </w:tr>
      <w:tr>
        <w:trPr/>
        <w:tc>
          <w:tcPr>
            <w:tcW w:w="161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than [____]%</w:t>
            </w:r>
            <w:bookmarkStart w:id="105" w:name=".lead.215"/>
            <w:bookmarkStart w:id="106" w:name=".lead.216"/>
            <w:bookmarkEnd w:id="105"/>
            <w:bookmarkEnd w:id="106"/>
          </w:p>
        </w:tc>
        <w:tc>
          <w:tcPr>
            <w:tcW w:w="60" w:type="dxa"/>
            <w:tcBorders/>
            <w:shd w:fill="CCEEFF" w:val="clear"/>
            <w:tcMar>
              <w:bottom w:w="0" w:type="dxa"/>
            </w:tcMar>
            <w:vAlign w:val="center"/>
          </w:tcPr>
          <w:p>
            <w:pPr>
              <w:pStyle w:val="TableContents"/>
              <w:bidi w:val="0"/>
              <w:spacing w:before="0" w:after="283"/>
              <w:jc w:val="left"/>
              <w:rPr/>
            </w:pPr>
            <w:r>
              <w:rPr/>
              <w:t> </w:t>
            </w:r>
            <w:bookmarkStart w:id="107" w:name=".symb.215"/>
            <w:bookmarkStart w:id="108" w:name=".symb.216"/>
            <w:bookmarkEnd w:id="107"/>
            <w:bookmarkEnd w:id="108"/>
          </w:p>
        </w:tc>
        <w:tc>
          <w:tcPr>
            <w:tcW w:w="351" w:type="dxa"/>
            <w:tcBorders/>
            <w:shd w:fill="CCEEFF" w:val="clear"/>
            <w:tcMar>
              <w:bottom w:w="0" w:type="dxa"/>
            </w:tcMar>
            <w:vAlign w:val="center"/>
          </w:tcPr>
          <w:p>
            <w:pPr>
              <w:pStyle w:val="TableContents"/>
              <w:bidi w:val="0"/>
              <w:spacing w:before="0" w:after="283"/>
              <w:ind w:left="0" w:right="0" w:hanging="0"/>
              <w:jc w:val="left"/>
              <w:rPr/>
            </w:pPr>
            <w:r>
              <w:rPr/>
              <w:t> </w:t>
            </w:r>
            <w:bookmarkStart w:id="109" w:name=".amt.215"/>
            <w:bookmarkStart w:id="110" w:name=".amt.216"/>
            <w:bookmarkEnd w:id="109"/>
            <w:bookmarkEnd w:id="110"/>
          </w:p>
        </w:tc>
        <w:tc>
          <w:tcPr>
            <w:tcW w:w="73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___</w:t>
            </w:r>
            <w:bookmarkStart w:id="111" w:name=".trail.215"/>
            <w:bookmarkStart w:id="112" w:name=".trail.216"/>
            <w:bookmarkEnd w:id="111"/>
            <w:bookmarkEnd w:id="112"/>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61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[____]%</w:t>
            </w:r>
            <w:bookmarkStart w:id="113" w:name=".lead.217"/>
            <w:bookmarkStart w:id="114" w:name=".lead.218"/>
            <w:bookmarkEnd w:id="113"/>
            <w:bookmarkEnd w:id="114"/>
          </w:p>
        </w:tc>
        <w:tc>
          <w:tcPr>
            <w:tcW w:w="60" w:type="dxa"/>
            <w:tcBorders/>
            <w:shd w:fill="FFFFFF" w:val="clear"/>
            <w:tcMar>
              <w:bottom w:w="0" w:type="dxa"/>
            </w:tcMar>
            <w:vAlign w:val="center"/>
          </w:tcPr>
          <w:p>
            <w:pPr>
              <w:pStyle w:val="TableContents"/>
              <w:bidi w:val="0"/>
              <w:spacing w:before="0" w:after="283"/>
              <w:jc w:val="left"/>
              <w:rPr/>
            </w:pPr>
            <w:r>
              <w:rPr/>
              <w:t> </w:t>
            </w:r>
            <w:bookmarkStart w:id="115" w:name=".symb.217"/>
            <w:bookmarkStart w:id="116" w:name=".symb.218"/>
            <w:bookmarkEnd w:id="115"/>
            <w:bookmarkEnd w:id="116"/>
          </w:p>
        </w:tc>
        <w:tc>
          <w:tcPr>
            <w:tcW w:w="351" w:type="dxa"/>
            <w:tcBorders/>
            <w:shd w:fill="FFFFFF" w:val="clear"/>
            <w:tcMar>
              <w:bottom w:w="0" w:type="dxa"/>
            </w:tcMar>
            <w:vAlign w:val="center"/>
          </w:tcPr>
          <w:p>
            <w:pPr>
              <w:pStyle w:val="TableContents"/>
              <w:bidi w:val="0"/>
              <w:spacing w:before="0" w:after="283"/>
              <w:ind w:left="0" w:right="0" w:hanging="0"/>
              <w:jc w:val="left"/>
              <w:rPr/>
            </w:pPr>
            <w:r>
              <w:rPr/>
              <w:t> </w:t>
            </w:r>
            <w:bookmarkStart w:id="117" w:name=".amt.217"/>
            <w:bookmarkStart w:id="118" w:name=".amt.218"/>
            <w:bookmarkEnd w:id="117"/>
            <w:bookmarkEnd w:id="118"/>
          </w:p>
        </w:tc>
        <w:tc>
          <w:tcPr>
            <w:tcW w:w="73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___</w:t>
            </w:r>
            <w:bookmarkStart w:id="119" w:name=".trail.217"/>
            <w:bookmarkStart w:id="120" w:name=".trail.218"/>
            <w:bookmarkEnd w:id="119"/>
            <w:bookmarkEnd w:id="120"/>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61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[____]%</w:t>
            </w:r>
            <w:bookmarkStart w:id="121" w:name=".lead.219"/>
            <w:bookmarkStart w:id="122" w:name=".lead.220"/>
            <w:bookmarkEnd w:id="121"/>
            <w:bookmarkEnd w:id="122"/>
          </w:p>
        </w:tc>
        <w:tc>
          <w:tcPr>
            <w:tcW w:w="60" w:type="dxa"/>
            <w:tcBorders/>
            <w:shd w:fill="CCEEFF" w:val="clear"/>
            <w:tcMar>
              <w:bottom w:w="0" w:type="dxa"/>
            </w:tcMar>
            <w:vAlign w:val="center"/>
          </w:tcPr>
          <w:p>
            <w:pPr>
              <w:pStyle w:val="TableContents"/>
              <w:bidi w:val="0"/>
              <w:spacing w:before="0" w:after="283"/>
              <w:jc w:val="left"/>
              <w:rPr/>
            </w:pPr>
            <w:r>
              <w:rPr/>
              <w:t> </w:t>
            </w:r>
            <w:bookmarkStart w:id="123" w:name=".symb.219"/>
            <w:bookmarkStart w:id="124" w:name=".symb.220"/>
            <w:bookmarkEnd w:id="123"/>
            <w:bookmarkEnd w:id="124"/>
          </w:p>
        </w:tc>
        <w:tc>
          <w:tcPr>
            <w:tcW w:w="351" w:type="dxa"/>
            <w:tcBorders/>
            <w:shd w:fill="CCEEFF" w:val="clear"/>
            <w:tcMar>
              <w:bottom w:w="0" w:type="dxa"/>
            </w:tcMar>
            <w:vAlign w:val="center"/>
          </w:tcPr>
          <w:p>
            <w:pPr>
              <w:pStyle w:val="TableContents"/>
              <w:bidi w:val="0"/>
              <w:spacing w:before="0" w:after="283"/>
              <w:ind w:left="0" w:right="0" w:hanging="0"/>
              <w:jc w:val="left"/>
              <w:rPr/>
            </w:pPr>
            <w:r>
              <w:rPr/>
              <w:t> </w:t>
            </w:r>
            <w:bookmarkStart w:id="125" w:name=".amt.219"/>
            <w:bookmarkStart w:id="126" w:name=".amt.220"/>
            <w:bookmarkEnd w:id="125"/>
            <w:bookmarkEnd w:id="126"/>
          </w:p>
        </w:tc>
        <w:tc>
          <w:tcPr>
            <w:tcW w:w="73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___</w:t>
            </w:r>
            <w:bookmarkStart w:id="127" w:name=".trail.219"/>
            <w:bookmarkStart w:id="128" w:name=".trail.220"/>
            <w:bookmarkEnd w:id="127"/>
            <w:bookmarkEnd w:id="128"/>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61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[____]%</w:t>
            </w:r>
            <w:bookmarkStart w:id="129" w:name=".lead.221"/>
            <w:bookmarkStart w:id="130" w:name=".lead.222"/>
            <w:bookmarkEnd w:id="129"/>
            <w:bookmarkEnd w:id="130"/>
          </w:p>
        </w:tc>
        <w:tc>
          <w:tcPr>
            <w:tcW w:w="60" w:type="dxa"/>
            <w:tcBorders/>
            <w:shd w:fill="FFFFFF" w:val="clear"/>
            <w:tcMar>
              <w:bottom w:w="0" w:type="dxa"/>
            </w:tcMar>
            <w:vAlign w:val="center"/>
          </w:tcPr>
          <w:p>
            <w:pPr>
              <w:pStyle w:val="TableContents"/>
              <w:bidi w:val="0"/>
              <w:spacing w:before="0" w:after="283"/>
              <w:jc w:val="left"/>
              <w:rPr/>
            </w:pPr>
            <w:r>
              <w:rPr/>
              <w:t> </w:t>
            </w:r>
            <w:bookmarkStart w:id="131" w:name=".symb.221"/>
            <w:bookmarkStart w:id="132" w:name=".symb.222"/>
            <w:bookmarkEnd w:id="131"/>
            <w:bookmarkEnd w:id="132"/>
          </w:p>
        </w:tc>
        <w:tc>
          <w:tcPr>
            <w:tcW w:w="351" w:type="dxa"/>
            <w:tcBorders/>
            <w:shd w:fill="FFFFFF" w:val="clear"/>
            <w:tcMar>
              <w:bottom w:w="0" w:type="dxa"/>
            </w:tcMar>
            <w:vAlign w:val="center"/>
          </w:tcPr>
          <w:p>
            <w:pPr>
              <w:pStyle w:val="TableContents"/>
              <w:bidi w:val="0"/>
              <w:spacing w:before="0" w:after="283"/>
              <w:ind w:left="0" w:right="0" w:hanging="0"/>
              <w:jc w:val="left"/>
              <w:rPr/>
            </w:pPr>
            <w:r>
              <w:rPr/>
              <w:t> </w:t>
            </w:r>
            <w:bookmarkStart w:id="133" w:name=".amt.221"/>
            <w:bookmarkStart w:id="134" w:name=".amt.222"/>
            <w:bookmarkEnd w:id="133"/>
            <w:bookmarkEnd w:id="134"/>
          </w:p>
        </w:tc>
        <w:tc>
          <w:tcPr>
            <w:tcW w:w="73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___</w:t>
            </w:r>
            <w:bookmarkStart w:id="135" w:name=".trail.221"/>
            <w:bookmarkStart w:id="136" w:name=".trail.222"/>
            <w:bookmarkEnd w:id="135"/>
            <w:bookmarkEnd w:id="136"/>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this purpose, ROAA shall be determined based on fiscal 20__ net income and calculated as follows: fiscal 20__ net income, subject to Board approved adjustments, divided by fiscal 20__ average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Interpolation shall be used to determine the ROAA performance payout percentage in the event the Company’s ROAA performance does not fall directly on payout percentages shown in the above chart.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Article 4.</w:t>
      </w:r>
      <w:r>
        <w:rPr>
          <w:rFonts w:ascii="Times New Roman" w:hAnsi="Times New Roman"/>
          <w:caps w:val="false"/>
          <w:smallCaps w:val="false"/>
          <w:sz w:val="20"/>
        </w:rPr>
        <w:t>         </w:t>
      </w:r>
      <w:r>
        <w:rPr>
          <w:rFonts w:ascii="Times New Roman" w:hAnsi="Times New Roman"/>
          <w:b/>
          <w:caps w:val="false"/>
          <w:smallCaps w:val="false"/>
          <w:sz w:val="20"/>
        </w:rPr>
        <w:t>Termination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Except as provided below, a Participant shall be eligible for payment of earned PSUs, as determined in Section 3, only if the Participant’s employment with the Company continues from the date of this Agreement through the date that any earned PSUs are settled.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Participant terminates employment due to death or disability (within the meaning of Section 22(e)(3) of the Code) prior to the settlement of any earned PSUs, the Participant (or the Participant’s estate) shall be entitled to that proportion of the number of PSUs as such Participant is entitled to under Section 3 for such Performance Period calculated as follows: the number of full months of employment during the Performance Period divided by the total number of months in the Performance Period. The form and timing of the payment of such PSUs shall be as set forth in Article 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Termination of employment for any reason prior to the settlement of any earned PSUs other than disability (within the meaning of Section 22(e)(3) of the Code) or death shall require forfeiture of this entire award, with no payment to the Participant.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purposes of this Agreement, service on the Board or service to the Company in a role approved by the Board as a consultant, in each case, shall be treated as “employment”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Article 5.</w:t>
      </w:r>
      <w:r>
        <w:rPr>
          <w:rFonts w:ascii="Times New Roman" w:hAnsi="Times New Roman"/>
          <w:caps w:val="false"/>
          <w:smallCaps w:val="false"/>
          <w:sz w:val="20"/>
        </w:rPr>
        <w:t>         </w:t>
      </w:r>
      <w:r>
        <w:rPr>
          <w:rFonts w:ascii="Times New Roman" w:hAnsi="Times New Roman"/>
          <w:b/>
          <w:caps w:val="false"/>
          <w:smallCaps w:val="false"/>
          <w:sz w:val="20"/>
        </w:rPr>
        <w:t>Change in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Notwithstanding anything herein to the contrary, upon a Change in Control, the Participant shall be entitled to a number of PSUs equal to the “Vesting Amount” (as defined below) prorated based on a) the number of full calendar months during the Performance Period that elapsed prior to the effective date of the Change in Control divided by (b) thirty six (36).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purposes of the foregoing, the “Vesting Amount” means the sum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(x) The number of PSUs that would have vested based on the achievement of TSR if the Ending Stock Price was the average closing price on the applicable stock exchange of one Share for the twenty (20) trading days immediately prior to the Change in Control and the Beginning Stock Price was the average closing price on the applicable stock exchange of one Share for the twenty (20) trading days immediately prior to the first day of the first fiscal year of the Performance Period, 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(y) If (i) the Change in Control occurs on or before the last day of the first fiscal year of the Performance Period, then the number of PSUs that would have vested based on the achievement of the 100% payout level for the ROATCE and ROAA performance measures, or (ii) the Change in Control occurs after the last day of the first fiscal year of the Performance Period, then the number of PSUs the Board determines, in its sole discretion, that would have been earned at the end of the Performance Period based on the Company’s forecasted ROATCE and ROAA using the Company’s performance results through the end of the fiscal quarter immediately preceding the effective date of the Change in Control. The Participant acknowledges and agrees that the determination under the immediately preceding clause (ii) is to be made in the sole discretion of the Board and is not subject to challenge.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PSUs shall be paid out to the Participant in cash within thirty (30) days of the effective date of the Change in Control. Any PSUs that are not paid pursuant to this Article 5 shall be forfeited upon the closing of the Change in Control with no compensation or payment due to the Participant or any other person or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caps w:val="false"/>
          <w:smallCaps w:val="false"/>
        </w:rPr>
      </w:pPr>
      <w:r>
        <w:rPr>
          <w:caps w:val="false"/>
          <w:smallCaps w:val="false"/>
        </w:rPr>
        <w:t>“</w:t>
      </w:r>
      <w:r>
        <w:rPr>
          <w:rFonts w:ascii="Times New Roman" w:hAnsi="Times New Roman"/>
          <w:caps w:val="false"/>
          <w:smallCaps w:val="false"/>
          <w:sz w:val="20"/>
        </w:rPr>
        <w:t>Change in Control” means the occurrence of any of the following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firstLine="720"/>
        <w:jc w:val="both"/>
        <w:rPr>
          <w:rFonts w:ascii="Times New Roman" w:hAnsi="Times New Roman"/>
          <w:caps w:val="false"/>
          <w:smallCaps w:val="false"/>
          <w:sz w:val="20"/>
        </w:rPr>
      </w:pPr>
      <w:r>
        <w:rPr>
          <w:rFonts w:ascii="Times New Roman" w:hAnsi="Times New Roman"/>
          <w:caps w:val="false"/>
          <w:smallCaps w:val="false"/>
          <w:sz w:val="20"/>
        </w:rPr>
        <w:t>(i)  any “person” (as such term is used in Sections 13(d) and 14(d) of the Securities Exchange Act of 1934, as amended (the “Exchange Act”)), or “persons” acting as a group (other than the Company; any Subsidiary of the Company; any employee benefit plan of the Company or any Subsidiary of the Company; or any entity in which the stockholders of the Company immediately before such transaction are, immediately after such transaction, the “beneficial owners” (as defined in Rule 13d</w:t>
        <w:noBreakHyphen/>
        <w:t>3 under the Exchange Act), directly or indirectly, of 50% or more of the combined voting power of such entity) becomes the “beneficial owner” (as defined in Rule 13d</w:t>
        <w:noBreakHyphen/>
        <w:t>3 under the Exchange Act), directly or indirectly, whether by merger, acquisition (including directly from the Company) or otherwise, of securities of the Company representing more than 50% of the combined voting power of the Company’s then outstanding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firstLine="720"/>
        <w:jc w:val="both"/>
        <w:rPr>
          <w:rFonts w:ascii="Times New Roman" w:hAnsi="Times New Roman"/>
          <w:caps w:val="false"/>
          <w:smallCaps w:val="false"/>
          <w:sz w:val="20"/>
        </w:rPr>
      </w:pPr>
      <w:r>
        <w:rPr>
          <w:rFonts w:ascii="Times New Roman" w:hAnsi="Times New Roman"/>
          <w:caps w:val="false"/>
          <w:smallCaps w:val="false"/>
          <w:sz w:val="20"/>
        </w:rPr>
        <w:t>(ii) any “person” (as such term is used in Sections 13(d) and 14(d) of the Exchange Act) or “persons” acting as a group (other than the Company; any Subsidiary of the Company; any employee benefit plan of the Company or any Subsidiary of the Company; or any entity in which the stockholders of the Company immediately before such transaction are, immediately after such transaction, the “beneficial owners” (as defined in Rule 13d</w:t>
        <w:noBreakHyphen/>
        <w:t>3 under the Exchange Act), directly or indirectly, of 50% or more of the combined voting power of such entity) acquires at least 85% of the gross fair market value of the assets of the Company during any period of twelve consecutive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firstLine="720"/>
        <w:jc w:val="both"/>
        <w:rPr>
          <w:rFonts w:ascii="Times New Roman" w:hAnsi="Times New Roman"/>
          <w:caps w:val="false"/>
          <w:smallCaps w:val="false"/>
          <w:sz w:val="20"/>
        </w:rPr>
      </w:pPr>
      <w:r>
        <w:rPr>
          <w:rFonts w:ascii="Times New Roman" w:hAnsi="Times New Roman"/>
          <w:caps w:val="false"/>
          <w:smallCaps w:val="false"/>
          <w:sz w:val="20"/>
        </w:rPr>
        <w:t>In addition, a Change in Control must satisfy the requirements of Treasury Regulation Section 1.409A-3(i)(5)(v) or Treasury Regulation Section 1.409A-3(i)(5)(vii).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Article 6.</w:t>
      </w:r>
      <w:r>
        <w:rPr>
          <w:rFonts w:ascii="Times New Roman" w:hAnsi="Times New Roman"/>
          <w:caps w:val="false"/>
          <w:smallCaps w:val="false"/>
          <w:sz w:val="20"/>
        </w:rPr>
        <w:t>         </w:t>
      </w:r>
      <w:r>
        <w:rPr>
          <w:rFonts w:ascii="Times New Roman" w:hAnsi="Times New Roman"/>
          <w:b/>
          <w:caps w:val="false"/>
          <w:smallCaps w:val="false"/>
          <w:sz w:val="20"/>
        </w:rPr>
        <w:t>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Performance Period, all dividends and other distributions that would have been paid with respect to the Shares underlying the PSUs had such Shares been outstanding shall accrue for the benefit of the Participant to be paid out to the Participant pursuant to Article 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Article 7.</w:t>
      </w:r>
      <w:r>
        <w:rPr>
          <w:rFonts w:ascii="Times New Roman" w:hAnsi="Times New Roman"/>
          <w:caps w:val="false"/>
          <w:smallCaps w:val="false"/>
          <w:sz w:val="20"/>
        </w:rPr>
        <w:t>         </w:t>
      </w:r>
      <w:r>
        <w:rPr>
          <w:rFonts w:ascii="Times New Roman" w:hAnsi="Times New Roman"/>
          <w:b/>
          <w:caps w:val="false"/>
          <w:smallCaps w:val="false"/>
          <w:sz w:val="20"/>
        </w:rPr>
        <w:t>Form and Timing of Payment of PSUs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Payment of the PSUs shall be made 100% in Shares and accrued dividends shall be made 100% in cash. All PSUs that are not forfeited earlier and that are not earned in accordance with the terms of this Agreement (and all dividends associated therewith) shall be immediately forfeited (effective as of the date on which the Company’s performance against the performance metrics is determined by the Company) with no compensation or payment due to the Participant or any other person or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Payment of earned PSUs and accrued dividends on such earned PSUs shall be made during the 90 day period commencing on the first day of the Company’s fiscal year after the end of the Performance Period, subject to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5"/>
        <w:gridCol w:w="9920"/>
      </w:tblGrid>
      <w:tr>
        <w:trPr/>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992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Participant shall have no right with respect to any Award or a portion thereof, until such award shall be paid to such Participant.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4"/>
        <w:gridCol w:w="9931"/>
      </w:tblGrid>
      <w:tr>
        <w:trPr/>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99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the Board determines, in its sole discretion, that a Participant at any time has willfully engaged in any activity that the Board determines was or is harmful to the Company, any unpaid pending Award will be forfeited by such Participant.</w:t>
            </w:r>
          </w:p>
        </w:tc>
      </w:tr>
    </w:tbl>
    <w:p>
      <w:pPr>
        <w:pStyle w:val="TextBody"/>
        <w:bidi w:val="0"/>
        <w:spacing w:before="0" w:after="0"/>
        <w:ind w:left="0" w:right="0" w:hanging="0"/>
        <w:jc w:val="left"/>
        <w:rPr>
          <w:caps w:val="false"/>
          <w:smallCaps w:val="false"/>
        </w:rPr>
      </w:pPr>
      <w:r>
        <w:rPr>
          <w:caps w:val="false"/>
          <w:smallCaps w:val="false"/>
        </w:rPr>
        <w:t> </w:t>
      </w:r>
    </w:p>
    <w:tbl>
      <w:tblPr>
        <w:tblW w:w="8020" w:type="dxa"/>
        <w:jc w:val="left"/>
        <w:tblInd w:w="0" w:type="dxa"/>
        <w:tblLayout w:type="fixed"/>
        <w:tblCellMar>
          <w:top w:w="0" w:type="dxa"/>
          <w:left w:w="0" w:type="dxa"/>
          <w:bottom w:w="0" w:type="dxa"/>
          <w:right w:w="0" w:type="dxa"/>
        </w:tblCellMar>
      </w:tblPr>
      <w:tblGrid>
        <w:gridCol w:w="60"/>
        <w:gridCol w:w="230"/>
        <w:gridCol w:w="773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w:t>
            </w:r>
          </w:p>
        </w:tc>
        <w:tc>
          <w:tcPr>
            <w:tcW w:w="773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Appropriate taxes will be withheld from the settlement of the award and any accrued dividends.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Article 8.</w:t>
      </w:r>
      <w:r>
        <w:rPr>
          <w:rFonts w:ascii="Times New Roman" w:hAnsi="Times New Roman"/>
          <w:caps w:val="false"/>
          <w:smallCaps w:val="false"/>
          <w:sz w:val="20"/>
        </w:rPr>
        <w:t>         </w:t>
      </w:r>
      <w:r>
        <w:rPr>
          <w:rFonts w:ascii="Times New Roman" w:hAnsi="Times New Roman"/>
          <w:b/>
          <w:caps w:val="false"/>
          <w:smallCaps w:val="false"/>
          <w:sz w:val="20"/>
        </w:rPr>
        <w:t>Nontransferability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PSUs may not be sold, transferred, pledged, assigned, or otherwise alienated or hypothecated, other than by will or by the laws of descent and distribution. Further, Participant’s rights under the Plan and this Agreement shall be exercisable during the Participant’s lifetime only by the Participant or the Participant’s legal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Article 9. </w:t>
      </w:r>
      <w:r>
        <w:rPr>
          <w:rFonts w:ascii="Times New Roman" w:hAnsi="Times New Roman"/>
          <w:caps w:val="false"/>
          <w:smallCaps w:val="false"/>
          <w:sz w:val="20"/>
        </w:rPr>
        <w:t>         </w:t>
      </w:r>
      <w:r>
        <w:rPr>
          <w:rFonts w:ascii="Times New Roman" w:hAnsi="Times New Roman"/>
          <w:b/>
          <w:caps w:val="false"/>
          <w:smallCaps w:val="false"/>
          <w:sz w:val="20"/>
        </w:rPr>
        <w:t>Administration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Agreement and the rights of the Participant hereunder are subject to all the terms and conditions of the Plan, as the same may be amended from time to time by the Board, as well as to such rules and regulations as the Board may adopt for administration of the Plan. It is expressly understood that the Board is authorized to administer, construe, and make all determinations necessary or appropriate to the administration of the Plan and this Agreement, in its sole discretion, all of which shall be binding upon the Participant.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Any inconsistency between the Agreement and the Plan shall be resolved in favor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Article 10.</w:t>
      </w:r>
      <w:r>
        <w:rPr>
          <w:rFonts w:ascii="Times New Roman" w:hAnsi="Times New Roman"/>
          <w:caps w:val="false"/>
          <w:smallCaps w:val="false"/>
          <w:sz w:val="20"/>
        </w:rPr>
        <w:t>         </w:t>
      </w:r>
      <w:r>
        <w:rPr>
          <w:rFonts w:ascii="Times New Roman" w:hAnsi="Times New Roman"/>
          <w:b/>
          <w:caps w:val="false"/>
          <w:smallCaps w:val="false"/>
          <w:sz w:val="20"/>
        </w:rPr>
        <w:t>Code Section 409A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This Agreement and the PSUs are intended to be exempt from Code Section 409A as a short-term deferral or otherwise, or if not so exempt, are intended to comply with Code Section 409A, and in either case, this Agreement and the PSUs shall be construed and interpreted accordingly. Notwithstanding the foregoing or anything in this Agreement to the contrary, if Participant is a “specified employee” (within the meaning of Code Section 409A) at the time of the Participant’s “separation from service” (within the meaning of Code Section 409A), then to the extent required by Code Section 409A, any payment or the provision of any benefit under this Agreement that is payable as the result of Participant’s “separation from service” (within the meaning of Code Section 409A) and that otherwise would have been provided within six (6) months after Participant’s “separation from service” (within the meaning of Code Section 409A) shall not be made or provided until (i) the ten (10) day period immediately after the expiration of the six (6) month and one (1) day period measured from the date of the Participant’s “separation from service” (within the meaning of Code Section 409A), or (ii) if earlier than clause (i), the ten (10) day period immediately after the date of the Participant’s death (but not earlier than such amount would have been paid or provided absent such death), with any remaining payments and benefits due under this Agreement to be paid or provided in accordance with the normal payment dates specified for them herein. Notwithstanding the foregoing or anything contained in the Plan or this Agreement to the contrary, (x) any PSUs (and dividend equivalents thereon) that have become earned and are payable in accordance with the terms of this Agreement are required to be, and shall be, settled no later than the last day necessary for such PSUs (and dividend equivalents) to qualify for exemption under Code Section 409A under Treasury Regulation Section 1.409A-1(b)(4) as a short-term deferral (which may require settlement earlier than as provided in Article VII) and (y) in no event shall the Company, any of the Company’s Subsidiaries, the Board, the Compensation Committee of the Board, any member of the Board or any member of the Compensation Committee of the Board have any liability or obligation to the Participant or to any other person or entity in the event that any of this Agreement, the Plan, any of the PSUs (or dividend equivalents) or the vesting or settlement of any of the PSUs (or dividend equivalents) do not comply with, or are not exempt from, Code Section 409A. Any provision of the Plan that would result in this Agreement or any PSU (or dividend equivalent) violating Code Section 409A shall not apply to this Agreement or such PSU (or dividend equivalent). This Section 10 shall apply </w:t>
      </w:r>
      <w:r>
        <w:rPr>
          <w:rFonts w:ascii="Times New Roman" w:hAnsi="Times New Roman"/>
          <w:i/>
          <w:caps w:val="false"/>
          <w:smallCaps w:val="false"/>
          <w:sz w:val="20"/>
        </w:rPr>
        <w:t>mutatis mutandis</w:t>
      </w:r>
      <w:r>
        <w:rPr>
          <w:rFonts w:ascii="Times New Roman" w:hAnsi="Times New Roman"/>
          <w:caps w:val="false"/>
          <w:smallCaps w:val="false"/>
          <w:sz w:val="20"/>
        </w:rPr>
        <w:t xml:space="preserve"> to any PSU award agreement between you and the Company that was entered into prior to the Grant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Article 11.</w:t>
      </w:r>
      <w:r>
        <w:rPr>
          <w:rFonts w:ascii="Times New Roman" w:hAnsi="Times New Roman"/>
          <w:caps w:val="false"/>
          <w:smallCaps w:val="false"/>
          <w:sz w:val="20"/>
        </w:rPr>
        <w:t>         </w:t>
      </w:r>
      <w:r>
        <w:rPr>
          <w:rFonts w:ascii="Times New Roman" w:hAnsi="Times New Roman"/>
          <w:b/>
          <w:caps w:val="false"/>
          <w:smallCaps w:val="false"/>
          <w:sz w:val="20"/>
        </w:rPr>
        <w:t>Miscellaneous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8"/>
        <w:gridCol w:w="9947"/>
      </w:tblGrid>
      <w:tr>
        <w:trPr/>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994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selection of Participant for participation in the Plan shall not give such Participant any right to be retained in the employ of the Company. The right and power of the Company to dismiss or discharge Participant at-will, is specifically reserved.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1"/>
        <w:gridCol w:w="9934"/>
      </w:tblGrid>
      <w:tr>
        <w:trPr/>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993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Board may terminate, amend, or modify the Plan; provided, however, that no such termination, amendment, or modification of the Plan may in any way adversely affect the Participant’s rights under this Agreement without the Participant’s written consent.</w:t>
            </w:r>
          </w:p>
        </w:tc>
      </w:tr>
    </w:tbl>
    <w:p>
      <w:pPr>
        <w:pStyle w:val="TextBody"/>
        <w:bidi w:val="0"/>
        <w:spacing w:before="0" w:after="0"/>
        <w:ind w:left="0" w:right="0" w:hanging="0"/>
        <w:jc w:val="left"/>
        <w:rPr>
          <w:caps w:val="false"/>
          <w:smallCaps w:val="false"/>
        </w:rPr>
      </w:pPr>
      <w:r>
        <w:rPr>
          <w:caps w:val="false"/>
          <w:smallCaps w:val="false"/>
        </w:rPr>
        <w:t> </w:t>
      </w:r>
    </w:p>
    <w:tbl>
      <w:tblPr>
        <w:tblW w:w="5515" w:type="dxa"/>
        <w:jc w:val="left"/>
        <w:tblInd w:w="0" w:type="dxa"/>
        <w:tblLayout w:type="fixed"/>
        <w:tblCellMar>
          <w:top w:w="0" w:type="dxa"/>
          <w:left w:w="0" w:type="dxa"/>
          <w:bottom w:w="0" w:type="dxa"/>
          <w:right w:w="0" w:type="dxa"/>
        </w:tblCellMar>
      </w:tblPr>
      <w:tblGrid>
        <w:gridCol w:w="60"/>
        <w:gridCol w:w="230"/>
        <w:gridCol w:w="522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w:t>
            </w:r>
          </w:p>
        </w:tc>
        <w:tc>
          <w:tcPr>
            <w:tcW w:w="522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Participant shall not have voting rights with respect to the PSUs.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3"/>
        <w:gridCol w:w="9922"/>
      </w:tblGrid>
      <w:tr>
        <w:trPr/>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w:t>
            </w:r>
          </w:p>
        </w:tc>
        <w:tc>
          <w:tcPr>
            <w:tcW w:w="992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This Agreement shall be subject to all applicable laws, rules, and regulations, and to such approvals by any governmental agencies or national securities exchanges as may be required.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5"/>
        <w:gridCol w:w="9970"/>
      </w:tblGrid>
      <w:tr>
        <w:trPr/>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w:t>
            </w:r>
          </w:p>
        </w:tc>
        <w:tc>
          <w:tcPr>
            <w:tcW w:w="99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 the extent not preempted by federal law, this Agreement shall be governed by, and construed in accordance with, the laws of the State of California without regard to any conflicts of law provision.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44"/>
        <w:gridCol w:w="9901"/>
      </w:tblGrid>
      <w:tr>
        <w:trPr/>
        <w:tc>
          <w:tcPr>
            <w:tcW w:w="6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(g)</w:t>
            </w:r>
          </w:p>
        </w:tc>
        <w:tc>
          <w:tcPr>
            <w:tcW w:w="99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Any awards received by Participant are subject to the provisions of the Stock Ownership Guidelines approved by the Board.</w:t>
            </w:r>
          </w:p>
        </w:tc>
      </w:tr>
    </w:tbl>
    <w:p>
      <w:pPr>
        <w:pStyle w:val="TextBody"/>
        <w:bidi w:val="0"/>
        <w:spacing w:before="0" w:after="0"/>
        <w:ind w:left="0" w:right="0" w:hanging="0"/>
        <w:jc w:val="left"/>
        <w:rPr>
          <w:caps w:val="false"/>
          <w:smallCaps w:val="false"/>
        </w:rPr>
      </w:pPr>
      <w:r>
        <w:rPr>
          <w:caps w:val="false"/>
          <w:smallCaps w:val="false"/>
        </w:rPr>
        <w:t> </w:t>
      </w:r>
    </w:p>
    <w:tbl>
      <w:tblPr>
        <w:tblW w:w="6370" w:type="dxa"/>
        <w:jc w:val="left"/>
        <w:tblInd w:w="0" w:type="dxa"/>
        <w:tblLayout w:type="fixed"/>
        <w:tblCellMar>
          <w:top w:w="0" w:type="dxa"/>
          <w:left w:w="0" w:type="dxa"/>
          <w:bottom w:w="0" w:type="dxa"/>
          <w:right w:w="0" w:type="dxa"/>
        </w:tblCellMar>
      </w:tblPr>
      <w:tblGrid>
        <w:gridCol w:w="60"/>
        <w:gridCol w:w="245"/>
        <w:gridCol w:w="606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(h)</w:t>
            </w:r>
          </w:p>
        </w:tc>
        <w:tc>
          <w:tcPr>
            <w:tcW w:w="606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Sections 16 and 21 of the Plan do not apply to this Agreement or the PSUs.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3"/>
        <w:gridCol w:w="9992"/>
      </w:tblGrid>
      <w:tr>
        <w:trPr/>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w:t>
            </w:r>
          </w:p>
        </w:tc>
        <w:tc>
          <w:tcPr>
            <w:tcW w:w="999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With respect to any PSU award agreement between you and the Company that was entered into prior to the Grant Date, in order for a transaction to constitute a “change in control” under any such other award agreement, such transaction must satisfy the requirements of Treasury Regulation Sections 1.409A-3(i)(5)(v), (vi) or (vii) (and any provision of any such definition of “change in control” that does not satisfy such requirements is hereby deleted in its entirety and inapplicable to such PSUs).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7"/>
        <w:gridCol w:w="9998"/>
      </w:tblGrid>
      <w:tr>
        <w:trPr/>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(j)</w:t>
            </w:r>
          </w:p>
        </w:tc>
        <w:tc>
          <w:tcPr>
            <w:tcW w:w="999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Participant acknowledges and agrees that all Awards granted under the Plan and all Shares, cash and other property issued in respect of any Award granted under the Plan (including the PSUs granted pursuant to this Agreement, and all Shares, cash and other property issued in respect of any of the PSUs granted pursuant to this Agreement), in each case, are subject to any clawback, recoupment and recovery policy of the Company as may be in effect from time to time (whether currently in effect or adopted or amended in the future, and whether or not required by applicable law, regulation or the rules of any stock exchange on which the Shares are traded or quoted), as well as any clawback, recoupment and recovery requirements mandated by applicable law, regulation or the rules of any stock exchange on which the Shares are traded or quoted.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parties have caused this Agreement to be executed effective as of [____], 20__.</w:t>
      </w:r>
    </w:p>
    <w:p>
      <w:pPr>
        <w:pStyle w:val="TextBody"/>
        <w:bidi w:val="0"/>
        <w:spacing w:before="0" w:after="0"/>
        <w:ind w:left="0" w:right="0" w:hanging="0"/>
        <w:jc w:val="left"/>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75"/>
        <w:gridCol w:w="365"/>
        <w:gridCol w:w="1505"/>
        <w:gridCol w:w="75"/>
      </w:tblGrid>
      <w:tr>
        <w:trPr/>
        <w:tc>
          <w:tcPr>
            <w:tcW w:w="75" w:type="dxa"/>
            <w:tcBorders/>
            <w:vAlign w:val="center"/>
          </w:tcPr>
          <w:p>
            <w:pPr>
              <w:pStyle w:val="TableContents"/>
              <w:bidi w:val="0"/>
              <w:spacing w:before="0" w:after="283"/>
              <w:jc w:val="left"/>
              <w:rPr/>
            </w:pPr>
            <w:r>
              <w:rPr/>
              <w:t> </w:t>
            </w:r>
          </w:p>
        </w:tc>
        <w:tc>
          <w:tcPr>
            <w:tcW w:w="1870" w:type="dxa"/>
            <w:gridSpan w:val="2"/>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RBB BANCORP</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By: </w:t>
            </w:r>
          </w:p>
        </w:tc>
        <w:tc>
          <w:tcPr>
            <w:tcW w:w="1505" w:type="dxa"/>
            <w:tcBorders>
              <w:bottom w:val="single" w:sz="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Authorized Signer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By: </w:t>
            </w:r>
          </w:p>
        </w:tc>
        <w:tc>
          <w:tcPr>
            <w:tcW w:w="1505" w:type="dxa"/>
            <w:tcBorders>
              <w:bottom w:val="single" w:sz="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Authorized Signer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By:</w:t>
            </w:r>
          </w:p>
        </w:tc>
        <w:tc>
          <w:tcPr>
            <w:tcW w:w="1505" w:type="dxa"/>
            <w:tcBorders>
              <w:bottom w:val="single" w:sz="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Participant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9</w:t>
      </w:r>
    </w:p>
    <w:p>
      <w:pPr>
        <w:pStyle w:val="TextBody"/>
        <w:bidi w:val="0"/>
        <w:spacing w:before="0" w:after="0"/>
        <w:ind w:left="0" w:right="0" w:hanging="0"/>
        <w:jc w:val="right"/>
        <w:rPr>
          <w:caps w:val="false"/>
          <w:smallCaps w:val="false"/>
        </w:rPr>
      </w:pPr>
      <w:bookmarkStart w:id="137" w:name="ex_972164.htm"/>
      <w:bookmarkStart w:id="138" w:name="ksex_972164"/>
      <w:bookmarkEnd w:id="137"/>
      <w:bookmarkEnd w:id="138"/>
      <w:r>
        <w:rPr>
          <w:caps w:val="false"/>
          <w:smallCaps w:val="false"/>
        </w:rPr>
        <w:t> </w:t>
      </w:r>
      <w:r>
        <w:br w:type="page"/>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Exhibit 31.1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Johnny Lee, certify that:</w:t>
      </w:r>
    </w:p>
    <w:p>
      <w:pPr>
        <w:pStyle w:val="TextBody"/>
        <w:bidi w:val="0"/>
        <w:spacing w:before="0" w:after="0"/>
        <w:ind w:left="0" w:right="0" w:hanging="0"/>
        <w:jc w:val="left"/>
        <w:rPr>
          <w:caps w:val="false"/>
          <w:smallCaps w:val="false"/>
        </w:rPr>
      </w:pPr>
      <w:r>
        <w:rPr>
          <w:caps w:val="false"/>
          <w:smallCaps w:val="false"/>
        </w:rPr>
        <w:t> </w:t>
      </w:r>
    </w:p>
    <w:tbl>
      <w:tblPr>
        <w:tblW w:w="5740" w:type="dxa"/>
        <w:jc w:val="left"/>
        <w:tblInd w:w="0" w:type="dxa"/>
        <w:tblLayout w:type="fixed"/>
        <w:tblCellMar>
          <w:top w:w="0" w:type="dxa"/>
          <w:left w:w="0" w:type="dxa"/>
          <w:bottom w:w="0" w:type="dxa"/>
          <w:right w:w="0" w:type="dxa"/>
        </w:tblCellMar>
      </w:tblPr>
      <w:tblGrid>
        <w:gridCol w:w="170"/>
        <w:gridCol w:w="5570"/>
      </w:tblGrid>
      <w:tr>
        <w:trPr/>
        <w:tc>
          <w:tcPr>
            <w:tcW w:w="1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w:t>
            </w:r>
          </w:p>
        </w:tc>
        <w:tc>
          <w:tcPr>
            <w:tcW w:w="55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have reviewed this quarterly report on Form 10-Q of RBB Bancorp;</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w:t>
            </w:r>
          </w:p>
        </w:tc>
        <w:tc>
          <w:tcPr>
            <w:tcW w:w="1006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w:t>
            </w:r>
          </w:p>
        </w:tc>
        <w:tc>
          <w:tcPr>
            <w:tcW w:w="100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w:t>
            </w:r>
          </w:p>
        </w:tc>
        <w:tc>
          <w:tcPr>
            <w:tcW w:w="1006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8"/>
        <w:gridCol w:w="9957"/>
      </w:tblGrid>
      <w:tr>
        <w:trPr/>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w:t>
            </w:r>
          </w:p>
        </w:tc>
        <w:tc>
          <w:tcPr>
            <w:tcW w:w="995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w:t>
            </w:r>
          </w:p>
        </w:tc>
        <w:tc>
          <w:tcPr>
            <w:tcW w:w="994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w:t>
            </w:r>
          </w:p>
        </w:tc>
        <w:tc>
          <w:tcPr>
            <w:tcW w:w="99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w:t>
            </w:r>
          </w:p>
        </w:tc>
        <w:tc>
          <w:tcPr>
            <w:tcW w:w="994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w:t>
            </w:r>
          </w:p>
        </w:tc>
        <w:tc>
          <w:tcPr>
            <w:tcW w:w="100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w:t>
            </w:r>
          </w:p>
        </w:tc>
        <w:tc>
          <w:tcPr>
            <w:tcW w:w="1000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w:t>
            </w:r>
          </w:p>
        </w:tc>
        <w:tc>
          <w:tcPr>
            <w:tcW w:w="997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4824" w:type="dxa"/>
        <w:jc w:val="left"/>
        <w:tblInd w:w="0" w:type="dxa"/>
        <w:tblLayout w:type="fixed"/>
        <w:tblCellMar>
          <w:top w:w="0" w:type="dxa"/>
          <w:left w:w="0" w:type="dxa"/>
          <w:bottom w:w="0" w:type="dxa"/>
          <w:right w:w="0" w:type="dxa"/>
        </w:tblCellMar>
      </w:tblPr>
      <w:tblGrid>
        <w:gridCol w:w="1745"/>
        <w:gridCol w:w="646"/>
        <w:gridCol w:w="2433"/>
      </w:tblGrid>
      <w:tr>
        <w:trPr/>
        <w:tc>
          <w:tcPr>
            <w:tcW w:w="17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7, 2026</w:t>
            </w:r>
          </w:p>
        </w:tc>
        <w:tc>
          <w:tcPr>
            <w:tcW w:w="64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43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Johnny Lee</w:t>
            </w:r>
          </w:p>
        </w:tc>
      </w:tr>
      <w:tr>
        <w:trPr/>
        <w:tc>
          <w:tcPr>
            <w:tcW w:w="1745" w:type="dxa"/>
            <w:tcBorders/>
            <w:vAlign w:val="center"/>
          </w:tcPr>
          <w:p>
            <w:pPr>
              <w:pStyle w:val="TableContents"/>
              <w:bidi w:val="0"/>
              <w:spacing w:before="0" w:after="283"/>
              <w:jc w:val="left"/>
              <w:rPr/>
            </w:pPr>
            <w:r>
              <w:rPr/>
              <w:t> </w:t>
            </w:r>
          </w:p>
        </w:tc>
        <w:tc>
          <w:tcPr>
            <w:tcW w:w="3079" w:type="dxa"/>
            <w:gridSpan w:val="2"/>
            <w:tcBorders/>
            <w:vAlign w:val="center"/>
          </w:tcPr>
          <w:p>
            <w:pPr>
              <w:pStyle w:val="TableContents"/>
              <w:bidi w:val="0"/>
              <w:spacing w:before="0" w:after="283"/>
              <w:jc w:val="left"/>
              <w:rPr/>
            </w:pPr>
            <w:r>
              <w:rPr/>
              <w:t>Johnny Lee,</w:t>
            </w:r>
          </w:p>
        </w:tc>
      </w:tr>
      <w:tr>
        <w:trPr/>
        <w:tc>
          <w:tcPr>
            <w:tcW w:w="1745" w:type="dxa"/>
            <w:tcBorders/>
            <w:vAlign w:val="center"/>
          </w:tcPr>
          <w:p>
            <w:pPr>
              <w:pStyle w:val="TableContents"/>
              <w:bidi w:val="0"/>
              <w:spacing w:before="0" w:after="283"/>
              <w:jc w:val="left"/>
              <w:rPr/>
            </w:pPr>
            <w:r>
              <w:rPr/>
              <w:t> </w:t>
            </w:r>
          </w:p>
        </w:tc>
        <w:tc>
          <w:tcPr>
            <w:tcW w:w="3079"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bookmarkStart w:id="139" w:name="ex_972165.htm"/>
      <w:bookmarkStart w:id="140" w:name="ksex_972165"/>
      <w:bookmarkEnd w:id="139"/>
      <w:bookmarkEnd w:id="140"/>
      <w:r>
        <w:rPr>
          <w:caps w:val="false"/>
          <w:smallCaps w:val="false"/>
        </w:rPr>
        <w:t> </w:t>
      </w:r>
      <w:r>
        <w:br w:type="page"/>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Exhibit 31.2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Lynn Hopkins, certify that:</w:t>
      </w:r>
    </w:p>
    <w:p>
      <w:pPr>
        <w:pStyle w:val="TextBody"/>
        <w:bidi w:val="0"/>
        <w:spacing w:before="0" w:after="0"/>
        <w:ind w:left="0" w:right="0" w:hanging="0"/>
        <w:jc w:val="left"/>
        <w:rPr>
          <w:caps w:val="false"/>
          <w:smallCaps w:val="false"/>
        </w:rPr>
      </w:pPr>
      <w:r>
        <w:rPr>
          <w:caps w:val="false"/>
          <w:smallCaps w:val="false"/>
        </w:rPr>
        <w:t> </w:t>
      </w:r>
    </w:p>
    <w:tbl>
      <w:tblPr>
        <w:tblW w:w="5740" w:type="dxa"/>
        <w:jc w:val="left"/>
        <w:tblInd w:w="0" w:type="dxa"/>
        <w:tblLayout w:type="fixed"/>
        <w:tblCellMar>
          <w:top w:w="0" w:type="dxa"/>
          <w:left w:w="0" w:type="dxa"/>
          <w:bottom w:w="0" w:type="dxa"/>
          <w:right w:w="0" w:type="dxa"/>
        </w:tblCellMar>
      </w:tblPr>
      <w:tblGrid>
        <w:gridCol w:w="170"/>
        <w:gridCol w:w="5570"/>
      </w:tblGrid>
      <w:tr>
        <w:trPr/>
        <w:tc>
          <w:tcPr>
            <w:tcW w:w="1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w:t>
            </w:r>
          </w:p>
        </w:tc>
        <w:tc>
          <w:tcPr>
            <w:tcW w:w="55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have reviewed this quarterly report on Form 10-Q of RBB Bancorp;</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w:t>
            </w:r>
          </w:p>
        </w:tc>
        <w:tc>
          <w:tcPr>
            <w:tcW w:w="1006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w:t>
            </w:r>
          </w:p>
        </w:tc>
        <w:tc>
          <w:tcPr>
            <w:tcW w:w="100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w:t>
            </w:r>
          </w:p>
        </w:tc>
        <w:tc>
          <w:tcPr>
            <w:tcW w:w="1006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8"/>
        <w:gridCol w:w="9957"/>
      </w:tblGrid>
      <w:tr>
        <w:trPr/>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w:t>
            </w:r>
          </w:p>
        </w:tc>
        <w:tc>
          <w:tcPr>
            <w:tcW w:w="995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w:t>
            </w:r>
          </w:p>
        </w:tc>
        <w:tc>
          <w:tcPr>
            <w:tcW w:w="994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w:t>
            </w:r>
          </w:p>
        </w:tc>
        <w:tc>
          <w:tcPr>
            <w:tcW w:w="99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w:t>
            </w:r>
          </w:p>
        </w:tc>
        <w:tc>
          <w:tcPr>
            <w:tcW w:w="994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w:t>
            </w:r>
          </w:p>
        </w:tc>
        <w:tc>
          <w:tcPr>
            <w:tcW w:w="100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w:t>
            </w:r>
          </w:p>
        </w:tc>
        <w:tc>
          <w:tcPr>
            <w:tcW w:w="1000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w:t>
            </w:r>
          </w:p>
        </w:tc>
        <w:tc>
          <w:tcPr>
            <w:tcW w:w="997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6054" w:type="dxa"/>
        <w:jc w:val="left"/>
        <w:tblInd w:w="0" w:type="dxa"/>
        <w:tblLayout w:type="fixed"/>
        <w:tblCellMar>
          <w:top w:w="0" w:type="dxa"/>
          <w:left w:w="0" w:type="dxa"/>
          <w:bottom w:w="0" w:type="dxa"/>
          <w:right w:w="0" w:type="dxa"/>
        </w:tblCellMar>
      </w:tblPr>
      <w:tblGrid>
        <w:gridCol w:w="1745"/>
        <w:gridCol w:w="788"/>
        <w:gridCol w:w="3521"/>
      </w:tblGrid>
      <w:tr>
        <w:trPr/>
        <w:tc>
          <w:tcPr>
            <w:tcW w:w="17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7, 2026</w:t>
            </w:r>
          </w:p>
        </w:tc>
        <w:tc>
          <w:tcPr>
            <w:tcW w:w="7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5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Lynn Hopkins</w:t>
            </w:r>
          </w:p>
        </w:tc>
      </w:tr>
      <w:tr>
        <w:trPr/>
        <w:tc>
          <w:tcPr>
            <w:tcW w:w="1745" w:type="dxa"/>
            <w:tcBorders/>
            <w:vAlign w:val="center"/>
          </w:tcPr>
          <w:p>
            <w:pPr>
              <w:pStyle w:val="TableContents"/>
              <w:bidi w:val="0"/>
              <w:spacing w:before="0" w:after="283"/>
              <w:jc w:val="left"/>
              <w:rPr/>
            </w:pPr>
            <w:r>
              <w:rPr/>
              <w:t> </w:t>
            </w:r>
          </w:p>
        </w:tc>
        <w:tc>
          <w:tcPr>
            <w:tcW w:w="4309"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Lynn Hopkins,</w:t>
            </w:r>
          </w:p>
        </w:tc>
      </w:tr>
      <w:tr>
        <w:trPr/>
        <w:tc>
          <w:tcPr>
            <w:tcW w:w="1745" w:type="dxa"/>
            <w:tcBorders/>
            <w:vAlign w:val="center"/>
          </w:tcPr>
          <w:p>
            <w:pPr>
              <w:pStyle w:val="TableContents"/>
              <w:bidi w:val="0"/>
              <w:spacing w:before="0" w:after="283"/>
              <w:jc w:val="left"/>
              <w:rPr/>
            </w:pPr>
            <w:r>
              <w:rPr/>
              <w:t> </w:t>
            </w:r>
          </w:p>
        </w:tc>
        <w:tc>
          <w:tcPr>
            <w:tcW w:w="4309"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Executive Vice President and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bookmarkStart w:id="141" w:name="ex_972166.htm"/>
      <w:bookmarkStart w:id="142" w:name="ksex_972166"/>
      <w:bookmarkEnd w:id="141"/>
      <w:bookmarkEnd w:id="142"/>
      <w:r>
        <w:rPr>
          <w:caps w:val="false"/>
          <w:smallCaps w:val="false"/>
        </w:rPr>
        <w:t> </w:t>
      </w:r>
      <w:r>
        <w:br w:type="page"/>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Exhibit 32.1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CERTIFICATION PURSUANT TO</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18 U.S.C. SECTION 1350,</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ADOPTED PURSUANT TO</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 xml:space="preserve">In connection with the Quarterly Report of RBB Bancorp (the “Company”) on Form 10-Q for the period ended </w:t>
      </w:r>
      <w:bookmarkStart w:id="143" w:name="led750542F20258241758741481136"/>
      <w:bookmarkEnd w:id="143"/>
      <w:r>
        <w:rPr>
          <w:rFonts w:ascii="Times New Roman" w:hAnsi="Times New Roman"/>
          <w:caps w:val="false"/>
          <w:smallCaps w:val="false"/>
          <w:sz w:val="20"/>
        </w:rPr>
        <w:t>June 30, 2026, as filed with the Securities and Exchange Commission on the date hereof (the “Report”), I, Johnny Lee, President and Chief Executive Officer of the Company, certify, pursuant to 18 U.S.C. § 1350, as adopted pursuant to § 906 of the Sarbanes-Oxley Act of 2002, to the best of my knowledge that:</w:t>
      </w:r>
    </w:p>
    <w:p>
      <w:pPr>
        <w:pStyle w:val="TextBody"/>
        <w:bidi w:val="0"/>
        <w:spacing w:before="0" w:after="0"/>
        <w:ind w:left="0" w:right="0" w:hanging="0"/>
        <w:jc w:val="left"/>
        <w:rPr>
          <w:caps w:val="false"/>
          <w:smallCaps w:val="false"/>
        </w:rPr>
      </w:pPr>
      <w:r>
        <w:rPr>
          <w:caps w:val="false"/>
          <w:smallCaps w:val="false"/>
        </w:rPr>
        <w:t> </w:t>
      </w:r>
    </w:p>
    <w:tbl>
      <w:tblPr>
        <w:tblW w:w="9865" w:type="dxa"/>
        <w:jc w:val="left"/>
        <w:tblInd w:w="0" w:type="dxa"/>
        <w:tblLayout w:type="fixed"/>
        <w:tblCellMar>
          <w:top w:w="0" w:type="dxa"/>
          <w:left w:w="0" w:type="dxa"/>
          <w:bottom w:w="0" w:type="dxa"/>
          <w:right w:w="0" w:type="dxa"/>
        </w:tblCellMar>
      </w:tblPr>
      <w:tblGrid>
        <w:gridCol w:w="60"/>
        <w:gridCol w:w="245"/>
        <w:gridCol w:w="956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w:t>
            </w:r>
          </w:p>
        </w:tc>
        <w:tc>
          <w:tcPr>
            <w:tcW w:w="95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4"/>
        <w:gridCol w:w="9911"/>
      </w:tblGrid>
      <w:tr>
        <w:trPr/>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w:t>
            </w:r>
          </w:p>
        </w:tc>
        <w:tc>
          <w:tcPr>
            <w:tcW w:w="991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4824" w:type="dxa"/>
        <w:jc w:val="left"/>
        <w:tblInd w:w="0" w:type="dxa"/>
        <w:tblLayout w:type="fixed"/>
        <w:tblCellMar>
          <w:top w:w="0" w:type="dxa"/>
          <w:left w:w="0" w:type="dxa"/>
          <w:bottom w:w="0" w:type="dxa"/>
          <w:right w:w="0" w:type="dxa"/>
        </w:tblCellMar>
      </w:tblPr>
      <w:tblGrid>
        <w:gridCol w:w="1745"/>
        <w:gridCol w:w="646"/>
        <w:gridCol w:w="2433"/>
      </w:tblGrid>
      <w:tr>
        <w:trPr/>
        <w:tc>
          <w:tcPr>
            <w:tcW w:w="17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7, 2026</w:t>
            </w:r>
          </w:p>
        </w:tc>
        <w:tc>
          <w:tcPr>
            <w:tcW w:w="64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43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Johnny Lee</w:t>
            </w:r>
          </w:p>
        </w:tc>
      </w:tr>
      <w:tr>
        <w:trPr/>
        <w:tc>
          <w:tcPr>
            <w:tcW w:w="1745" w:type="dxa"/>
            <w:tcBorders/>
            <w:vAlign w:val="center"/>
          </w:tcPr>
          <w:p>
            <w:pPr>
              <w:pStyle w:val="TableContents"/>
              <w:bidi w:val="0"/>
              <w:spacing w:before="0" w:after="283"/>
              <w:jc w:val="left"/>
              <w:rPr/>
            </w:pPr>
            <w:r>
              <w:rPr/>
              <w:t> </w:t>
            </w:r>
          </w:p>
        </w:tc>
        <w:tc>
          <w:tcPr>
            <w:tcW w:w="3079"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Johnny Lee,</w:t>
            </w:r>
          </w:p>
        </w:tc>
      </w:tr>
      <w:tr>
        <w:trPr/>
        <w:tc>
          <w:tcPr>
            <w:tcW w:w="1745" w:type="dxa"/>
            <w:tcBorders/>
            <w:vAlign w:val="center"/>
          </w:tcPr>
          <w:p>
            <w:pPr>
              <w:pStyle w:val="TableContents"/>
              <w:bidi w:val="0"/>
              <w:spacing w:before="0" w:after="283"/>
              <w:jc w:val="left"/>
              <w:rPr/>
            </w:pPr>
            <w:r>
              <w:rPr/>
              <w:t> </w:t>
            </w:r>
          </w:p>
        </w:tc>
        <w:tc>
          <w:tcPr>
            <w:tcW w:w="3079"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bookmarkStart w:id="144" w:name="ex_972167.htm"/>
      <w:bookmarkStart w:id="145" w:name="ksex_972167"/>
      <w:bookmarkEnd w:id="144"/>
      <w:bookmarkEnd w:id="145"/>
      <w:r>
        <w:rPr>
          <w:caps w:val="false"/>
          <w:smallCaps w:val="false"/>
        </w:rPr>
        <w:t> </w:t>
      </w:r>
      <w:r>
        <w:br w:type="page"/>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Exhibit 32.2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CERTIFICATION PURSUANT TO</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18 U.S.C. SECTION 1350,</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ADOPTED PURSUANT TO</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 xml:space="preserve">In connection with the Quarterly Report of RBB Bancorp (the “Company”) on Form 10-Q for the period ended </w:t>
      </w:r>
      <w:bookmarkStart w:id="146" w:name="led750542F20258241758741549443"/>
      <w:bookmarkEnd w:id="146"/>
      <w:r>
        <w:rPr>
          <w:rFonts w:ascii="Times New Roman" w:hAnsi="Times New Roman"/>
          <w:caps w:val="false"/>
          <w:smallCaps w:val="false"/>
          <w:sz w:val="20"/>
        </w:rPr>
        <w:t>June 30, 2026, as filed with the Securities and Exchange Commission on the date hereof (the “Report”), I, Lynn Hopkins, Executive Vice President and Chief Financial Officer of the Company, certify, pursuant to 18 U.S.C. § 1350, as adopted pursuant to § 906 of the Sarbanes-Oxley Act of 2002, to the best of my knowledge that:</w:t>
      </w:r>
    </w:p>
    <w:p>
      <w:pPr>
        <w:pStyle w:val="TextBody"/>
        <w:bidi w:val="0"/>
        <w:spacing w:before="0" w:after="0"/>
        <w:ind w:left="0" w:right="0" w:hanging="0"/>
        <w:jc w:val="left"/>
        <w:rPr>
          <w:caps w:val="false"/>
          <w:smallCaps w:val="false"/>
        </w:rPr>
      </w:pPr>
      <w:r>
        <w:rPr>
          <w:caps w:val="false"/>
          <w:smallCaps w:val="false"/>
        </w:rPr>
        <w:t> </w:t>
      </w:r>
    </w:p>
    <w:tbl>
      <w:tblPr>
        <w:tblW w:w="9865" w:type="dxa"/>
        <w:jc w:val="left"/>
        <w:tblInd w:w="0" w:type="dxa"/>
        <w:tblLayout w:type="fixed"/>
        <w:tblCellMar>
          <w:top w:w="0" w:type="dxa"/>
          <w:left w:w="0" w:type="dxa"/>
          <w:bottom w:w="0" w:type="dxa"/>
          <w:right w:w="0" w:type="dxa"/>
        </w:tblCellMar>
      </w:tblPr>
      <w:tblGrid>
        <w:gridCol w:w="60"/>
        <w:gridCol w:w="245"/>
        <w:gridCol w:w="956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w:t>
            </w:r>
          </w:p>
        </w:tc>
        <w:tc>
          <w:tcPr>
            <w:tcW w:w="95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4"/>
        <w:gridCol w:w="9911"/>
      </w:tblGrid>
      <w:tr>
        <w:trPr/>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w:t>
            </w:r>
          </w:p>
        </w:tc>
        <w:tc>
          <w:tcPr>
            <w:tcW w:w="991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6054" w:type="dxa"/>
        <w:jc w:val="left"/>
        <w:tblInd w:w="0" w:type="dxa"/>
        <w:tblLayout w:type="fixed"/>
        <w:tblCellMar>
          <w:top w:w="0" w:type="dxa"/>
          <w:left w:w="0" w:type="dxa"/>
          <w:bottom w:w="0" w:type="dxa"/>
          <w:right w:w="0" w:type="dxa"/>
        </w:tblCellMar>
      </w:tblPr>
      <w:tblGrid>
        <w:gridCol w:w="1745"/>
        <w:gridCol w:w="788"/>
        <w:gridCol w:w="3521"/>
      </w:tblGrid>
      <w:tr>
        <w:trPr/>
        <w:tc>
          <w:tcPr>
            <w:tcW w:w="17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7, 2026</w:t>
            </w:r>
          </w:p>
        </w:tc>
        <w:tc>
          <w:tcPr>
            <w:tcW w:w="7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5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Lynn Hopkins</w:t>
            </w:r>
          </w:p>
        </w:tc>
      </w:tr>
      <w:tr>
        <w:trPr/>
        <w:tc>
          <w:tcPr>
            <w:tcW w:w="1745" w:type="dxa"/>
            <w:tcBorders/>
            <w:vAlign w:val="center"/>
          </w:tcPr>
          <w:p>
            <w:pPr>
              <w:pStyle w:val="TableContents"/>
              <w:bidi w:val="0"/>
              <w:spacing w:before="0" w:after="283"/>
              <w:jc w:val="left"/>
              <w:rPr/>
            </w:pPr>
            <w:r>
              <w:rPr/>
              <w:t> </w:t>
            </w:r>
          </w:p>
        </w:tc>
        <w:tc>
          <w:tcPr>
            <w:tcW w:w="4309"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Lynn Hopkins,</w:t>
            </w:r>
          </w:p>
        </w:tc>
      </w:tr>
      <w:tr>
        <w:trPr/>
        <w:tc>
          <w:tcPr>
            <w:tcW w:w="1745" w:type="dxa"/>
            <w:tcBorders/>
            <w:vAlign w:val="center"/>
          </w:tcPr>
          <w:p>
            <w:pPr>
              <w:pStyle w:val="TableContents"/>
              <w:bidi w:val="0"/>
              <w:spacing w:before="0" w:after="283"/>
              <w:jc w:val="left"/>
              <w:rPr/>
            </w:pPr>
            <w:r>
              <w:rPr/>
              <w:t> </w:t>
            </w:r>
          </w:p>
        </w:tc>
        <w:tc>
          <w:tcPr>
            <w:tcW w:w="4309"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Executive Vice President and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499422/000119312517216619/d375346dex31.htm" TargetMode="External"/><Relationship Id="rId3" Type="http://schemas.openxmlformats.org/officeDocument/2006/relationships/hyperlink" Target="http://www.sec.gov/Archives/edgar/data/1499422/000119312517216619/d375346dex32.htm" TargetMode="External"/><Relationship Id="rId4" Type="http://schemas.openxmlformats.org/officeDocument/2006/relationships/hyperlink" Target="http://www.sec.gov/Archives/edgar/data/1499422/000156459018029149/rbb-ex33_548.htm" TargetMode="External"/><Relationship Id="rId5" Type="http://schemas.openxmlformats.org/officeDocument/2006/relationships/hyperlink" Target="http://www.sec.gov/Archives/edgar/data/1499422/000119312517216619/d375346dex4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44019</Words>
  <Characters>228591</Characters>
  <CharactersWithSpaces>283443</CharactersWithSpaces>
  <Paragraphs>31292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