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bb20260904_8k.htm"/>
      <w:bookmarkStart w:id="1" w:name="ksrbb20260904_8k"/>
      <w:bookmarkEnd w:id="0"/>
      <w:bookmarkEnd w:id="1"/>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WASHINGTON, D.C. 20549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8-K</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CURRENT REPORT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Pursuant to Section 13 or 15(d) of the Securities Exchange Act of 1934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September 4, 2026 (August 31, 2026)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RBB BANCORP</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(Exact name of Registrant as Specified in Its Charter)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6075" w:type="dxa"/>
        <w:jc w:val="left"/>
        <w:tblInd w:w="0" w:type="dxa"/>
        <w:tblLayout w:type="fixed"/>
        <w:tblCellMar>
          <w:top w:w="0" w:type="dxa"/>
          <w:left w:w="0" w:type="dxa"/>
          <w:bottom w:w="0" w:type="dxa"/>
          <w:right w:w="0" w:type="dxa"/>
        </w:tblCellMar>
      </w:tblPr>
      <w:tblGrid>
        <w:gridCol w:w="3380"/>
        <w:gridCol w:w="1145"/>
        <w:gridCol w:w="1550"/>
      </w:tblGrid>
      <w:tr>
        <w:trPr/>
        <w:tc>
          <w:tcPr>
            <w:tcW w:w="338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California</w:t>
            </w:r>
          </w:p>
        </w:tc>
        <w:tc>
          <w:tcPr>
            <w:tcW w:w="114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001-38149</w:t>
            </w:r>
          </w:p>
        </w:tc>
        <w:tc>
          <w:tcPr>
            <w:tcW w:w="155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27-2776416</w:t>
            </w:r>
          </w:p>
        </w:tc>
      </w:tr>
      <w:tr>
        <w:trPr/>
        <w:tc>
          <w:tcPr>
            <w:tcW w:w="338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Incorporation)</w:t>
            </w:r>
          </w:p>
        </w:tc>
        <w:tc>
          <w:tcPr>
            <w:tcW w:w="114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Number)</w:t>
            </w:r>
          </w:p>
        </w:tc>
        <w:tc>
          <w:tcPr>
            <w:tcW w:w="155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Identification No.)</w:t>
            </w:r>
          </w:p>
        </w:tc>
      </w:tr>
      <w:tr>
        <w:trPr/>
        <w:tc>
          <w:tcPr>
            <w:tcW w:w="338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lineRule="auto" w:line="288" w:before="0" w:after="0"/>
              <w:ind w:left="0" w:right="0" w:hanging="0"/>
              <w:jc w:val="center"/>
              <w:rPr>
                <w:rFonts w:ascii="Times New Roman;Times;serif" w:hAnsi="Times New Roman;Times;serif"/>
                <w:sz w:val="20"/>
              </w:rPr>
            </w:pPr>
            <w:r>
              <w:rPr>
                <w:rFonts w:ascii="Times New Roman;Times;serif" w:hAnsi="Times New Roman;Times;serif"/>
                <w:b/>
                <w:sz w:val="20"/>
              </w:rPr>
              <w:t>1055 Wilshire Blvd., 12th</w:t>
            </w:r>
            <w:r>
              <w:rPr>
                <w:rFonts w:ascii="Times New Roman;Times;serif" w:hAnsi="Times New Roman;Times;serif"/>
                <w:sz w:val="20"/>
              </w:rPr>
              <w:t xml:space="preserve"> </w:t>
            </w:r>
            <w:r>
              <w:rPr>
                <w:rFonts w:ascii="Times New Roman;Times;serif" w:hAnsi="Times New Roman;Times;serif"/>
                <w:b/>
                <w:sz w:val="20"/>
              </w:rPr>
              <w:t>floor,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Los Angeles, California</w:t>
            </w:r>
          </w:p>
        </w:tc>
        <w:tc>
          <w:tcPr>
            <w:tcW w:w="1145"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90017</w:t>
            </w:r>
          </w:p>
        </w:tc>
      </w:tr>
      <w:tr>
        <w:trPr/>
        <w:tc>
          <w:tcPr>
            <w:tcW w:w="338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1145"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(213) 627-9888</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 Applicable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(Former Name or Former Address, if Changed Since Last Report)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pPr>
      <w:r>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pPr>
            <w:r>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pPr>
      <w:r>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pPr>
            <w:r>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pPr>
      <w:r>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pPr>
      <w:r>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 (b) of the Act:</w:t>
      </w:r>
    </w:p>
    <w:p>
      <w:pPr>
        <w:pStyle w:val="TextBody"/>
        <w:bidi w:val="0"/>
        <w:spacing w:before="0" w:after="0"/>
        <w:ind w:left="490" w:right="0" w:hanging="490"/>
        <w:jc w:val="left"/>
        <w:rPr/>
      </w:pPr>
      <w:r>
        <w:rPr/>
        <w:t> </w:t>
      </w:r>
    </w:p>
    <w:tbl>
      <w:tblPr>
        <w:tblW w:w="6675" w:type="dxa"/>
        <w:jc w:val="left"/>
        <w:tblInd w:w="0" w:type="dxa"/>
        <w:tblLayout w:type="fixed"/>
        <w:tblCellMar>
          <w:top w:w="0" w:type="dxa"/>
          <w:left w:w="0" w:type="dxa"/>
          <w:bottom w:w="28" w:type="dxa"/>
          <w:right w:w="0" w:type="dxa"/>
        </w:tblCellMar>
      </w:tblPr>
      <w:tblGrid>
        <w:gridCol w:w="2435"/>
        <w:gridCol w:w="60"/>
        <w:gridCol w:w="860"/>
        <w:gridCol w:w="60"/>
        <w:gridCol w:w="3260"/>
      </w:tblGrid>
      <w:tr>
        <w:trPr/>
        <w:tc>
          <w:tcPr>
            <w:tcW w:w="24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Symbol(s)</w:t>
            </w:r>
          </w:p>
        </w:tc>
        <w:tc>
          <w:tcPr>
            <w:tcW w:w="60" w:type="dxa"/>
            <w:tcBorders/>
            <w:tcMar>
              <w:bottom w:w="0" w:type="dxa"/>
            </w:tcMar>
            <w:vAlign w:val="center"/>
          </w:tcPr>
          <w:p>
            <w:pPr>
              <w:pStyle w:val="TableContents"/>
              <w:bidi w:val="0"/>
              <w:spacing w:before="0" w:after="283"/>
              <w:jc w:val="left"/>
              <w:rPr/>
            </w:pPr>
            <w:r>
              <w:rPr/>
              <w:t> </w:t>
            </w:r>
          </w:p>
        </w:tc>
        <w:tc>
          <w:tcPr>
            <w:tcW w:w="32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exchange on which registered</w:t>
            </w:r>
          </w:p>
        </w:tc>
      </w:tr>
      <w:tr>
        <w:trPr/>
        <w:tc>
          <w:tcPr>
            <w:tcW w:w="243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No Par Value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RBB</w:t>
            </w:r>
          </w:p>
        </w:tc>
        <w:tc>
          <w:tcPr>
            <w:tcW w:w="60" w:type="dxa"/>
            <w:tcBorders/>
            <w:tcMar>
              <w:bottom w:w="0" w:type="dxa"/>
            </w:tcMar>
            <w:vAlign w:val="center"/>
          </w:tcPr>
          <w:p>
            <w:pPr>
              <w:pStyle w:val="TableContents"/>
              <w:bidi w:val="0"/>
              <w:spacing w:before="0" w:after="283"/>
              <w:jc w:val="left"/>
              <w:rPr/>
            </w:pPr>
            <w:r>
              <w:rPr/>
              <w:t> </w:t>
            </w:r>
          </w:p>
        </w:tc>
        <w:tc>
          <w:tcPr>
            <w:tcW w:w="326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5.02 Departure of Directors or Certain Officers; Election of Directors; Appointment of Certain Officers; Compensatory Arrangements of Certain Officers.</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Mr. Gary Fan, Executive Vice President and Chief Operations Officer of Royal Business Bank (the “Bank”), the wholly-owned subsidiary of RBB Bancorp (the “Company”), will conclude his tenure with the Bank effective September 30, 2026, following the Company’s and Mr. Fan’s mutual decision on August 31, 2026 that his employment agreement would not be renewed beyond its current expiration date of December 4, 2026. The decision not to renew Mr. Fan’s employment agreement was made as part of the Bank’s leadership transition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Pursuant to the terms of his employment agreement, upon his departure from the Bank, Mr. Fan will be entitled to receive a severance payment in the amount of six (6) months of his current annual base salary. Payment of this severance amount is conditioned upon Mr. Fan’s execution of a general release of claims in favor of the Bank and its officers, directors, employees, shareholders, attorneys, agents and all other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Company’s Board of Directors appreciates Mr. Fan’s contributions and leadership during his tenure with the Bank and thanks him for his commitment to facilitating a smooth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pPr>
      <w:r>
        <w:rPr/>
        <w:t> </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4365" w:type="dxa"/>
        <w:jc w:val="left"/>
        <w:tblInd w:w="0" w:type="dxa"/>
        <w:tblLayout w:type="fixed"/>
        <w:tblCellMar>
          <w:top w:w="0" w:type="dxa"/>
          <w:left w:w="0" w:type="dxa"/>
          <w:bottom w:w="0" w:type="dxa"/>
          <w:right w:w="0" w:type="dxa"/>
        </w:tblCellMar>
      </w:tblPr>
      <w:tblGrid>
        <w:gridCol w:w="2015"/>
        <w:gridCol w:w="320"/>
        <w:gridCol w:w="60"/>
        <w:gridCol w:w="1970"/>
      </w:tblGrid>
      <w:tr>
        <w:trPr/>
        <w:tc>
          <w:tcPr>
            <w:tcW w:w="2015" w:type="dxa"/>
            <w:tcBorders/>
            <w:vAlign w:val="center"/>
          </w:tcPr>
          <w:p>
            <w:pPr>
              <w:pStyle w:val="TableContents"/>
              <w:bidi w:val="0"/>
              <w:spacing w:before="0" w:after="283"/>
              <w:jc w:val="left"/>
              <w:rPr/>
            </w:pPr>
            <w:r>
              <w:rPr/>
              <w:t> </w:t>
            </w:r>
          </w:p>
        </w:tc>
        <w:tc>
          <w:tcPr>
            <w:tcW w:w="23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RBB BANCORP</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4, 2026</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0" w:type="dxa"/>
            <w:tcBorders/>
            <w:vAlign w:val="center"/>
          </w:tcPr>
          <w:p>
            <w:pPr>
              <w:pStyle w:val="TableContents"/>
              <w:bidi w:val="0"/>
              <w:spacing w:before="0" w:after="283"/>
              <w:jc w:val="left"/>
              <w:rPr/>
            </w:pPr>
            <w:r>
              <w:rPr/>
              <w:t> </w:t>
            </w:r>
          </w:p>
        </w:tc>
        <w:tc>
          <w:tcPr>
            <w:tcW w:w="19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Lynn Hopkins</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Lynn Hopkins</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561</Words>
  <Characters>3081</Characters>
  <CharactersWithSpaces>3651</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