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6682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682740"/>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Fan Gary</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1055 WILSHIRE BLVD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RBB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RBB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69"/>
        <w:spacing w:after="0"/>
        <w:rPr>
          <w:sz w:val="20"/>
          <w:szCs w:val="20"/>
          <w:color w:val="auto"/>
        </w:rPr>
      </w:pPr>
      <w:r>
        <w:rPr>
          <w:rFonts w:ascii="Times New Roman" w:cs="Times New Roman" w:eastAsia="Times New Roman" w:hAnsi="Times New Roman"/>
          <w:sz w:val="17"/>
          <w:szCs w:val="17"/>
          <w:color w:val="0000FF"/>
        </w:rPr>
        <w:t>EVP/Chief Operations Officer</w:t>
      </w:r>
    </w:p>
    <w:p>
      <w:pPr>
        <w:spacing w:after="0" w:line="394" w:lineRule="exact"/>
        <w:rPr>
          <w:sz w:val="24"/>
          <w:szCs w:val="24"/>
          <w:color w:val="auto"/>
        </w:rPr>
      </w:pPr>
    </w:p>
    <w:p>
      <w:pPr>
        <w:sectPr>
          <w:pgSz w:w="11900" w:h="16838" w:orient="portrait"/>
          <w:cols w:equalWidth="0" w:num="3">
            <w:col w:w="3180" w:space="720"/>
            <w:col w:w="3111" w:space="720"/>
            <w:col w:w="3349"/>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3"/>
                <w:szCs w:val="13"/>
                <w:color w:val="auto"/>
                <w:w w:val="89"/>
              </w:rPr>
              <w:t>Line)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LOS ANGELES CA</w:t>
            </w:r>
          </w:p>
        </w:tc>
        <w:tc>
          <w:tcPr>
            <w:tcW w:w="860" w:type="dxa"/>
            <w:vAlign w:val="bottom"/>
          </w:tcPr>
          <w:p>
            <w:pPr>
              <w:spacing w:after="0"/>
              <w:rPr>
                <w:sz w:val="10"/>
                <w:szCs w:val="10"/>
                <w:color w:val="auto"/>
              </w:rPr>
            </w:pP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90017</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260" w:type="dxa"/>
            <w:vAlign w:val="bottom"/>
          </w:tcPr>
          <w:p>
            <w:pPr>
              <w:spacing w:after="0"/>
              <w:rPr>
                <w:sz w:val="6"/>
                <w:szCs w:val="6"/>
                <w:color w:val="auto"/>
              </w:rPr>
            </w:pPr>
          </w:p>
        </w:tc>
        <w:tc>
          <w:tcPr>
            <w:tcW w:w="1420" w:type="dxa"/>
            <w:vAlign w:val="bottom"/>
            <w:gridSpan w:val="2"/>
            <w:vMerge w:val="restart"/>
          </w:tcPr>
          <w:p>
            <w:pPr>
              <w:ind w:left="28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360" w:type="dxa"/>
            <w:vAlign w:val="bottom"/>
            <w:tcBorders>
              <w:bottom w:val="single" w:sz="8" w:color="2C2C2C"/>
            </w:tcBorders>
            <w:gridSpan w:val="9"/>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2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7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05/26/2026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2,368</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24.0147</w:t>
            </w:r>
          </w:p>
        </w:tc>
        <w:tc>
          <w:tcPr>
            <w:tcW w:w="48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8"/>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40" w:type="dxa"/>
            <w:vAlign w:val="bottom"/>
            <w:gridSpan w:val="9"/>
          </w:tcPr>
          <w:p>
            <w:pPr>
              <w:jc w:val="center"/>
              <w:ind w:left="51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820" w:type="dxa"/>
            <w:vAlign w:val="bottom"/>
            <w:gridSpan w:val="2"/>
            <w:vMerge w:val="restart"/>
          </w:tcPr>
          <w:p>
            <w:pPr>
              <w:jc w:val="right"/>
              <w:ind w:right="136"/>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12/20/2032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jc w:val="center"/>
              <w:ind w:left="278"/>
              <w:spacing w:after="0"/>
              <w:rPr>
                <w:sz w:val="20"/>
                <w:szCs w:val="20"/>
                <w:color w:val="auto"/>
              </w:rPr>
            </w:pPr>
            <w:r>
              <w:rPr>
                <w:rFonts w:ascii="Times New Roman" w:cs="Times New Roman" w:eastAsia="Times New Roman" w:hAnsi="Times New Roman"/>
                <w:sz w:val="13"/>
                <w:szCs w:val="13"/>
                <w:color w:val="0000FF"/>
              </w:rPr>
              <w:t>12,000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Options</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1,011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jc w:val="center"/>
              <w:ind w:left="278"/>
              <w:spacing w:after="0"/>
              <w:rPr>
                <w:sz w:val="20"/>
                <w:szCs w:val="20"/>
                <w:color w:val="auto"/>
              </w:rPr>
            </w:pPr>
            <w:r>
              <w:rPr>
                <w:rFonts w:ascii="Times New Roman" w:cs="Times New Roman" w:eastAsia="Times New Roman" w:hAnsi="Times New Roman"/>
                <w:sz w:val="13"/>
                <w:szCs w:val="13"/>
                <w:color w:val="0000FF"/>
                <w:w w:val="95"/>
              </w:rPr>
              <w:t>1,011</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1,314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jc w:val="center"/>
              <w:ind w:left="278"/>
              <w:spacing w:after="0"/>
              <w:rPr>
                <w:sz w:val="20"/>
                <w:szCs w:val="20"/>
                <w:color w:val="auto"/>
              </w:rPr>
            </w:pPr>
            <w:r>
              <w:rPr>
                <w:rFonts w:ascii="Times New Roman" w:cs="Times New Roman" w:eastAsia="Times New Roman" w:hAnsi="Times New Roman"/>
                <w:sz w:val="13"/>
                <w:szCs w:val="13"/>
                <w:color w:val="0000FF"/>
                <w:w w:val="95"/>
              </w:rPr>
              <w:t>1,314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5,916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jc w:val="center"/>
              <w:ind w:left="278"/>
              <w:spacing w:after="0"/>
              <w:rPr>
                <w:sz w:val="20"/>
                <w:szCs w:val="20"/>
                <w:color w:val="auto"/>
              </w:rPr>
            </w:pPr>
            <w:r>
              <w:rPr>
                <w:rFonts w:ascii="Times New Roman" w:cs="Times New Roman" w:eastAsia="Times New Roman" w:hAnsi="Times New Roman"/>
                <w:sz w:val="13"/>
                <w:szCs w:val="13"/>
                <w:color w:val="0000FF"/>
                <w:w w:val="95"/>
              </w:rPr>
              <w:t>5,916</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2,904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jc w:val="center"/>
              <w:ind w:left="278"/>
              <w:spacing w:after="0"/>
              <w:rPr>
                <w:sz w:val="20"/>
                <w:szCs w:val="20"/>
                <w:color w:val="auto"/>
              </w:rPr>
            </w:pPr>
            <w:r>
              <w:rPr>
                <w:rFonts w:ascii="Times New Roman" w:cs="Times New Roman" w:eastAsia="Times New Roman" w:hAnsi="Times New Roman"/>
                <w:sz w:val="13"/>
                <w:szCs w:val="13"/>
                <w:color w:val="0000FF"/>
                <w:w w:val="95"/>
              </w:rPr>
              <w:t>2,904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6,534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jc w:val="center"/>
              <w:ind w:left="278"/>
              <w:spacing w:after="0"/>
              <w:rPr>
                <w:sz w:val="20"/>
                <w:szCs w:val="20"/>
                <w:color w:val="auto"/>
              </w:rPr>
            </w:pPr>
            <w:r>
              <w:rPr>
                <w:rFonts w:ascii="Times New Roman" w:cs="Times New Roman" w:eastAsia="Times New Roman" w:hAnsi="Times New Roman"/>
                <w:sz w:val="13"/>
                <w:szCs w:val="13"/>
                <w:color w:val="0000FF"/>
                <w:w w:val="95"/>
              </w:rPr>
              <w:t>6,534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4,660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jc w:val="center"/>
              <w:ind w:left="278"/>
              <w:spacing w:after="0"/>
              <w:rPr>
                <w:sz w:val="20"/>
                <w:szCs w:val="20"/>
                <w:color w:val="auto"/>
              </w:rPr>
            </w:pPr>
            <w:r>
              <w:rPr>
                <w:rFonts w:ascii="Times New Roman" w:cs="Times New Roman" w:eastAsia="Times New Roman" w:hAnsi="Times New Roman"/>
                <w:sz w:val="13"/>
                <w:szCs w:val="13"/>
                <w:color w:val="0000FF"/>
                <w:w w:val="95"/>
              </w:rPr>
              <w:t>4,660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2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w w:val="94"/>
              </w:rPr>
              <w:t>0.0000</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right"/>
              <w:ind w:right="284"/>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3,106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jc w:val="center"/>
              <w:ind w:left="278"/>
              <w:spacing w:after="0"/>
              <w:rPr>
                <w:sz w:val="20"/>
                <w:szCs w:val="20"/>
                <w:color w:val="auto"/>
              </w:rPr>
            </w:pPr>
            <w:r>
              <w:rPr>
                <w:rFonts w:ascii="Times New Roman" w:cs="Times New Roman" w:eastAsia="Times New Roman" w:hAnsi="Times New Roman"/>
                <w:sz w:val="13"/>
                <w:szCs w:val="13"/>
                <w:color w:val="0000FF"/>
                <w:w w:val="95"/>
              </w:rPr>
              <w:t>3,106</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2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-3831590</wp:posOffset>
            </wp:positionV>
            <wp:extent cx="29210" cy="3836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836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remaining options vest in two equal annual installments on 12/05/2026 and 12/05/2027.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remaining restricted stock units vest on 02/21/2027.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will be no expiration date once restricted stock units vest.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remaining restricted stock units vest on 03/20/2027.</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performance stock units ("PSUs") will vest conditionally on the achievement of certain performance goals and an employment condition. The reported PSUs will vest at the expiration of a three-year period beginning on 03/20/2024 subject to the Reporting Person's satisfaction of the employment condition.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remaining restricted stock units vest in two equal installments on 05/08/2027 and 05/08/2028.</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to vest conditionally on the achievement of certain performance goals and an employment condition. The PSUs are awarded at a target level and have the opportunity to vest at 150% of such target level; The reported PSUs represent the maximum award that may be achieved and ultimately vest. The reported PSUs will vest at the expiration of a three-year period beginning on 05/08/2025 subject to the Reporting Person's satisfaction of the employment condition.</w:t>
      </w:r>
    </w:p>
    <w:p>
      <w:pPr>
        <w:spacing w:after="0" w:line="26" w:lineRule="exact"/>
        <w:rPr>
          <w:rFonts w:ascii="Times New Roman" w:cs="Times New Roman" w:eastAsia="Times New Roman" w:hAnsi="Times New Roman"/>
          <w:sz w:val="13"/>
          <w:szCs w:val="13"/>
          <w:color w:val="008000"/>
        </w:rPr>
      </w:pPr>
    </w:p>
    <w:p>
      <w:pPr>
        <w:ind w:left="40" w:right="3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to vest conditionally on the achievement of certain performance goals to occur after December 31, 2028, and before March 14, 2029, and an employment condition. The PSUs are awarded at a target level and have the opportunity to vest at 150% of such target level; The reported PSUs represent the maximum award that may be achieved and ultimately vest. The reported PSUs will vest at the certification by the Board of Directors subject to the Reporting Person's satisfaction of the employment condition.</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in three equal annual installments beginning one year after the 05/13/2026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7" w:right="359" w:bottom="0" w:gutter="0" w:footer="0" w:header="0"/>
          <w:type w:val="continuous"/>
        </w:sectPr>
      </w:pPr>
    </w:p>
    <w:p>
      <w:pPr>
        <w:spacing w:after="0" w:line="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A total of 2,368 shares sold for $24.0147 on May 26, 2026.</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Gary Fan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05/27/2026</w:t>
            </w:r>
          </w:p>
        </w:tc>
      </w:tr>
      <w:tr>
        <w:trPr>
          <w:trHeight w:val="20"/>
        </w:trPr>
        <w:tc>
          <w:tcPr>
            <w:tcW w:w="8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7237" TargetMode="External"/><Relationship Id="rId14" Type="http://schemas.openxmlformats.org/officeDocument/2006/relationships/hyperlink" Target="http://www.sec.gov/cgi-bin/browse-edgar?action=getcompany&amp;CIK=0001499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2026-05-27T17:35:32Z</dcterms:created>
  <dcterms:modified xsi:type="dcterms:W3CDTF">2026-05-27T17:35:32Z</dcterms:modified>
</cp:coreProperties>
</file>