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40" w:type="dxa"/>
            <w:vAlign w:val="bottom"/>
            <w:gridSpan w:val="2"/>
          </w:tcPr>
          <w:p>
            <w:pPr>
              <w:jc w:val="center"/>
              <w:ind w:right="1600"/>
              <w:spacing w:after="0"/>
              <w:rPr>
                <w:sz w:val="20"/>
                <w:szCs w:val="20"/>
                <w:color w:val="auto"/>
              </w:rPr>
            </w:pPr>
            <w:r>
              <w:rPr>
                <w:rFonts w:ascii="Arial" w:cs="Arial" w:eastAsia="Arial" w:hAnsi="Arial"/>
                <w:sz w:val="18"/>
                <w:szCs w:val="18"/>
                <w:color w:val="auto"/>
                <w:w w:val="93"/>
              </w:rPr>
              <w:t>L</w:t>
            </w:r>
            <w:r>
              <w:rPr>
                <w:rFonts w:ascii="Arial" w:cs="Arial" w:eastAsia="Arial" w:hAnsi="Arial"/>
                <w:sz w:val="15"/>
                <w:szCs w:val="15"/>
                <w:color w:val="auto"/>
                <w:w w:val="93"/>
              </w:rPr>
              <w:t>OREN</w:t>
            </w:r>
            <w:r>
              <w:rPr>
                <w:rFonts w:ascii="Arial" w:cs="Arial" w:eastAsia="Arial" w:hAnsi="Arial"/>
                <w:sz w:val="18"/>
                <w:szCs w:val="18"/>
                <w:color w:val="auto"/>
                <w:w w:val="93"/>
              </w:rPr>
              <w:t xml:space="preserve"> P. H</w:t>
            </w:r>
            <w:r>
              <w:rPr>
                <w:rFonts w:ascii="Arial" w:cs="Arial" w:eastAsia="Arial" w:hAnsi="Arial"/>
                <w:sz w:val="15"/>
                <w:szCs w:val="15"/>
                <w:color w:val="auto"/>
                <w:w w:val="93"/>
              </w:rPr>
              <w:t>ANSEN</w:t>
            </w:r>
          </w:p>
        </w:tc>
        <w:tc>
          <w:tcPr>
            <w:tcW w:w="216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gridSpan w:val="3"/>
          </w:tcPr>
          <w:p>
            <w:pPr>
              <w:jc w:val="center"/>
              <w:ind w:right="740"/>
              <w:spacing w:after="0"/>
              <w:rPr>
                <w:sz w:val="20"/>
                <w:szCs w:val="20"/>
                <w:color w:val="auto"/>
              </w:rPr>
            </w:pPr>
            <w:r>
              <w:rPr>
                <w:rFonts w:ascii="Arial" w:cs="Arial" w:eastAsia="Arial" w:hAnsi="Arial"/>
                <w:sz w:val="18"/>
                <w:szCs w:val="18"/>
                <w:color w:val="auto"/>
                <w:w w:val="94"/>
              </w:rPr>
              <w:t>A PROFESSIONAL CORPORATION</w:t>
            </w:r>
          </w:p>
        </w:tc>
        <w:tc>
          <w:tcPr>
            <w:tcW w:w="216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40" w:type="dxa"/>
            <w:vAlign w:val="bottom"/>
            <w:gridSpan w:val="2"/>
          </w:tcPr>
          <w:p>
            <w:pPr>
              <w:jc w:val="center"/>
              <w:ind w:right="1600"/>
              <w:spacing w:after="0"/>
              <w:rPr>
                <w:sz w:val="20"/>
                <w:szCs w:val="20"/>
                <w:color w:val="auto"/>
              </w:rPr>
            </w:pPr>
            <w:r>
              <w:rPr>
                <w:rFonts w:ascii="Arial" w:cs="Arial" w:eastAsia="Arial" w:hAnsi="Arial"/>
                <w:sz w:val="18"/>
                <w:szCs w:val="18"/>
                <w:color w:val="auto"/>
                <w:w w:val="96"/>
              </w:rPr>
              <w:t>ATTORNEY AT LAW</w:t>
            </w:r>
          </w:p>
        </w:tc>
        <w:tc>
          <w:tcPr>
            <w:tcW w:w="216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gridSpan w:val="3"/>
          </w:tcPr>
          <w:p>
            <w:pPr>
              <w:jc w:val="center"/>
              <w:ind w:right="740"/>
              <w:spacing w:after="0"/>
              <w:rPr>
                <w:sz w:val="20"/>
                <w:szCs w:val="20"/>
                <w:color w:val="auto"/>
              </w:rPr>
            </w:pPr>
            <w:r>
              <w:rPr>
                <w:rFonts w:ascii="Arial" w:cs="Arial" w:eastAsia="Arial" w:hAnsi="Arial"/>
                <w:sz w:val="18"/>
                <w:szCs w:val="18"/>
                <w:color w:val="auto"/>
                <w:w w:val="93"/>
              </w:rPr>
              <w:t>1301 DOVE STREET, SUITE 370</w:t>
            </w:r>
          </w:p>
        </w:tc>
        <w:tc>
          <w:tcPr>
            <w:tcW w:w="2160" w:type="dxa"/>
            <w:vAlign w:val="bottom"/>
          </w:tcPr>
          <w:p>
            <w:pPr>
              <w:spacing w:after="0"/>
              <w:rPr>
                <w:sz w:val="18"/>
                <w:szCs w:val="18"/>
                <w:color w:val="auto"/>
              </w:rPr>
            </w:pPr>
          </w:p>
        </w:tc>
      </w:tr>
      <w:tr>
        <w:trPr>
          <w:trHeight w:val="216"/>
        </w:trPr>
        <w:tc>
          <w:tcPr>
            <w:tcW w:w="3900" w:type="dxa"/>
            <w:vAlign w:val="bottom"/>
            <w:gridSpan w:val="2"/>
          </w:tcPr>
          <w:p>
            <w:pPr>
              <w:ind w:left="940"/>
              <w:spacing w:after="0"/>
              <w:rPr>
                <w:sz w:val="20"/>
                <w:szCs w:val="20"/>
                <w:color w:val="auto"/>
              </w:rPr>
            </w:pPr>
            <w:r>
              <w:rPr>
                <w:rFonts w:ascii="Arial" w:cs="Arial" w:eastAsia="Arial" w:hAnsi="Arial"/>
                <w:sz w:val="18"/>
                <w:szCs w:val="18"/>
                <w:color w:val="auto"/>
              </w:rPr>
              <w:t>TELEPHONE:</w:t>
            </w:r>
          </w:p>
        </w:tc>
        <w:tc>
          <w:tcPr>
            <w:tcW w:w="4500" w:type="dxa"/>
            <w:vAlign w:val="bottom"/>
            <w:gridSpan w:val="3"/>
          </w:tcPr>
          <w:p>
            <w:pPr>
              <w:jc w:val="center"/>
              <w:ind w:right="740"/>
              <w:spacing w:after="0"/>
              <w:rPr>
                <w:sz w:val="20"/>
                <w:szCs w:val="20"/>
                <w:color w:val="auto"/>
              </w:rPr>
            </w:pPr>
            <w:r>
              <w:rPr>
                <w:rFonts w:ascii="Arial" w:cs="Arial" w:eastAsia="Arial" w:hAnsi="Arial"/>
                <w:sz w:val="18"/>
                <w:szCs w:val="18"/>
                <w:color w:val="auto"/>
                <w:w w:val="95"/>
              </w:rPr>
              <w:t>NEWPORT BEACH, CALIFORNIA 92660</w:t>
            </w:r>
          </w:p>
        </w:tc>
        <w:tc>
          <w:tcPr>
            <w:tcW w:w="2160" w:type="dxa"/>
            <w:vAlign w:val="bottom"/>
          </w:tcPr>
          <w:p>
            <w:pPr>
              <w:jc w:val="center"/>
              <w:ind w:left="950"/>
              <w:spacing w:after="0"/>
              <w:rPr>
                <w:sz w:val="20"/>
                <w:szCs w:val="20"/>
                <w:color w:val="auto"/>
              </w:rPr>
            </w:pPr>
            <w:r>
              <w:rPr>
                <w:rFonts w:ascii="Arial" w:cs="Arial" w:eastAsia="Arial" w:hAnsi="Arial"/>
                <w:sz w:val="18"/>
                <w:szCs w:val="18"/>
                <w:color w:val="auto"/>
                <w:w w:val="97"/>
              </w:rPr>
              <w:t>C</w:t>
            </w:r>
            <w:r>
              <w:rPr>
                <w:rFonts w:ascii="Arial" w:cs="Arial" w:eastAsia="Arial" w:hAnsi="Arial"/>
                <w:sz w:val="15"/>
                <w:szCs w:val="15"/>
                <w:color w:val="auto"/>
                <w:w w:val="97"/>
              </w:rPr>
              <w:t>ELL PHONE</w:t>
            </w:r>
            <w:r>
              <w:rPr>
                <w:rFonts w:ascii="Arial" w:cs="Arial" w:eastAsia="Arial" w:hAnsi="Arial"/>
                <w:sz w:val="18"/>
                <w:szCs w:val="18"/>
                <w:color w:val="auto"/>
                <w:w w:val="97"/>
              </w:rPr>
              <w:t>:</w:t>
            </w:r>
          </w:p>
        </w:tc>
      </w:tr>
      <w:tr>
        <w:trPr>
          <w:trHeight w:val="190"/>
        </w:trPr>
        <w:tc>
          <w:tcPr>
            <w:tcW w:w="3620" w:type="dxa"/>
            <w:vAlign w:val="bottom"/>
          </w:tcPr>
          <w:p>
            <w:pPr>
              <w:ind w:left="940"/>
              <w:spacing w:after="0" w:line="190" w:lineRule="exact"/>
              <w:rPr>
                <w:sz w:val="20"/>
                <w:szCs w:val="20"/>
                <w:color w:val="auto"/>
              </w:rPr>
            </w:pPr>
            <w:r>
              <w:rPr>
                <w:rFonts w:ascii="Arial" w:cs="Arial" w:eastAsia="Arial" w:hAnsi="Arial"/>
                <w:sz w:val="18"/>
                <w:szCs w:val="18"/>
                <w:color w:val="auto"/>
              </w:rPr>
              <w:t>(949) 851-6125</w:t>
            </w:r>
          </w:p>
        </w:tc>
        <w:tc>
          <w:tcPr>
            <w:tcW w:w="280" w:type="dxa"/>
            <w:vAlign w:val="bottom"/>
          </w:tcPr>
          <w:p>
            <w:pPr>
              <w:spacing w:after="0"/>
              <w:rPr>
                <w:sz w:val="16"/>
                <w:szCs w:val="16"/>
                <w:color w:val="auto"/>
              </w:rPr>
            </w:pPr>
          </w:p>
        </w:tc>
        <w:tc>
          <w:tcPr>
            <w:tcW w:w="4500" w:type="dxa"/>
            <w:vAlign w:val="bottom"/>
            <w:gridSpan w:val="3"/>
          </w:tcPr>
          <w:p>
            <w:pPr>
              <w:jc w:val="center"/>
              <w:ind w:right="740"/>
              <w:spacing w:after="0" w:line="190" w:lineRule="exact"/>
              <w:rPr>
                <w:sz w:val="20"/>
                <w:szCs w:val="20"/>
                <w:color w:val="auto"/>
              </w:rPr>
            </w:pPr>
            <w:r>
              <w:rPr>
                <w:rFonts w:ascii="Arial" w:cs="Arial" w:eastAsia="Arial" w:hAnsi="Arial"/>
                <w:sz w:val="18"/>
                <w:szCs w:val="18"/>
                <w:color w:val="auto"/>
                <w:w w:val="88"/>
              </w:rPr>
              <w:t>lphansen@lphansenlaw.com</w:t>
            </w:r>
          </w:p>
        </w:tc>
        <w:tc>
          <w:tcPr>
            <w:tcW w:w="2160" w:type="dxa"/>
            <w:vAlign w:val="bottom"/>
          </w:tcPr>
          <w:p>
            <w:pPr>
              <w:jc w:val="right"/>
              <w:spacing w:after="0" w:line="190" w:lineRule="exact"/>
              <w:rPr>
                <w:sz w:val="20"/>
                <w:szCs w:val="20"/>
                <w:color w:val="auto"/>
              </w:rPr>
            </w:pPr>
            <w:r>
              <w:rPr>
                <w:rFonts w:ascii="Arial" w:cs="Arial" w:eastAsia="Arial" w:hAnsi="Arial"/>
                <w:sz w:val="18"/>
                <w:szCs w:val="18"/>
                <w:color w:val="auto"/>
              </w:rPr>
              <w:t>(949) 275-1145</w:t>
            </w:r>
          </w:p>
        </w:tc>
      </w:tr>
      <w:tr>
        <w:trPr>
          <w:trHeight w:val="466"/>
        </w:trPr>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July 17, 2017</w:t>
            </w:r>
          </w:p>
        </w:tc>
        <w:tc>
          <w:tcPr>
            <w:tcW w:w="16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50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VIA EDGAR AND OVERNIGHT DELIVERY</w:t>
            </w: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38"/>
        </w:trPr>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Ms. Era Anagnosti</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Legal Branch Chief</w:t>
            </w:r>
          </w:p>
        </w:tc>
        <w:tc>
          <w:tcPr>
            <w:tcW w:w="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Office of Financial Services</w:t>
            </w:r>
          </w:p>
        </w:tc>
        <w:tc>
          <w:tcPr>
            <w:tcW w:w="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U.S. Securities and Exchange Commission</w:t>
            </w:r>
          </w:p>
        </w:tc>
        <w:tc>
          <w:tcPr>
            <w:tcW w:w="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100 F. Street, N.E.</w:t>
            </w:r>
          </w:p>
        </w:tc>
        <w:tc>
          <w:tcPr>
            <w:tcW w:w="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Washington, D.C. 20549</w:t>
            </w:r>
          </w:p>
        </w:tc>
        <w:tc>
          <w:tcPr>
            <w:tcW w:w="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225"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tab/>
        <w:t>RBB Bancorp</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Amendment No. 2 to Registration Statement on Form S-1</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on June 28, 2017</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333-219018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Anagnosti:</w:t>
      </w:r>
    </w:p>
    <w:p>
      <w:pPr>
        <w:spacing w:after="0" w:line="117" w:lineRule="exact"/>
        <w:rPr>
          <w:sz w:val="24"/>
          <w:szCs w:val="24"/>
          <w:color w:val="auto"/>
        </w:rPr>
      </w:pPr>
    </w:p>
    <w:p>
      <w:pPr>
        <w:ind w:firstLine="456"/>
        <w:spacing w:after="0" w:line="257" w:lineRule="auto"/>
        <w:rPr>
          <w:sz w:val="20"/>
          <w:szCs w:val="20"/>
          <w:color w:val="auto"/>
        </w:rPr>
      </w:pPr>
      <w:r>
        <w:rPr>
          <w:rFonts w:ascii="Arial" w:cs="Arial" w:eastAsia="Arial" w:hAnsi="Arial"/>
          <w:sz w:val="18"/>
          <w:szCs w:val="18"/>
          <w:color w:val="auto"/>
        </w:rPr>
        <w:t>On behalf of RBB Bancorp, a California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we are submitting this letter in response to further discussions with the accounting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with respect to the above-referenced Registration Statement on Form S-1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is concurrently filing Amendment No. 2 (“</w:t>
      </w:r>
      <w:r>
        <w:rPr>
          <w:rFonts w:ascii="Arial" w:cs="Arial" w:eastAsia="Arial" w:hAnsi="Arial"/>
          <w:sz w:val="18"/>
          <w:szCs w:val="18"/>
          <w:u w:val="single" w:color="auto"/>
          <w:color w:val="auto"/>
        </w:rPr>
        <w:t>Amendment No. 2</w:t>
      </w:r>
      <w:r>
        <w:rPr>
          <w:rFonts w:ascii="Arial" w:cs="Arial" w:eastAsia="Arial" w:hAnsi="Arial"/>
          <w:sz w:val="18"/>
          <w:szCs w:val="18"/>
          <w:color w:val="auto"/>
        </w:rPr>
        <w:t>”) to the Registration Statement with the Commission via EDGAR, and five courtesy copies of Amendment No. 2 marked to show changes to the Registration Statement are being sent under separate cover.</w:t>
      </w:r>
    </w:p>
    <w:p>
      <w:pPr>
        <w:spacing w:after="0" w:line="188" w:lineRule="exact"/>
        <w:rPr>
          <w:sz w:val="24"/>
          <w:szCs w:val="24"/>
          <w:color w:val="auto"/>
        </w:rPr>
      </w:pPr>
    </w:p>
    <w:p>
      <w:pPr>
        <w:ind w:right="140" w:firstLine="456"/>
        <w:spacing w:after="0" w:line="286" w:lineRule="auto"/>
        <w:rPr>
          <w:sz w:val="20"/>
          <w:szCs w:val="20"/>
          <w:color w:val="auto"/>
        </w:rPr>
      </w:pPr>
      <w:r>
        <w:rPr>
          <w:rFonts w:ascii="Arial" w:cs="Arial" w:eastAsia="Arial" w:hAnsi="Arial"/>
          <w:sz w:val="17"/>
          <w:szCs w:val="17"/>
          <w:color w:val="auto"/>
        </w:rPr>
        <w:t>Amendments addressing our discussion with the Staff appear on pages 15, 16, 17, 22, 57, 75, 80, 94, 96 and 97 of Amendment No. 2. After reviewing ASC 855, the Company and its accountants agree that the payment on the guarantee for the second SBA loan described on page 75, which has now been received from the SBA, is a second quarter event, and the March 31, 2017 financial statements will not be revised.</w:t>
      </w:r>
    </w:p>
    <w:p>
      <w:pPr>
        <w:spacing w:after="0" w:line="166" w:lineRule="exact"/>
        <w:rPr>
          <w:sz w:val="24"/>
          <w:szCs w:val="24"/>
          <w:color w:val="auto"/>
        </w:rPr>
      </w:pPr>
    </w:p>
    <w:p>
      <w:pPr>
        <w:ind w:right="200" w:firstLine="456"/>
        <w:spacing w:after="0" w:line="277" w:lineRule="auto"/>
        <w:rPr>
          <w:sz w:val="20"/>
          <w:szCs w:val="20"/>
          <w:color w:val="auto"/>
        </w:rPr>
      </w:pPr>
      <w:r>
        <w:rPr>
          <w:rFonts w:ascii="Arial" w:cs="Arial" w:eastAsia="Arial" w:hAnsi="Arial"/>
          <w:sz w:val="18"/>
          <w:szCs w:val="18"/>
          <w:color w:val="auto"/>
        </w:rPr>
        <w:t>In addition, after discussions with Mr. David Gessert, we have amended (i) Legal Proceedings on Page 129 to provide that the referenced litigation is immaterial, and (ii) Exhibit 5.1.</w:t>
      </w:r>
    </w:p>
    <w:p>
      <w:pPr>
        <w:spacing w:after="0" w:line="1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 xml:space="preserve">Please contact the undersigned at (949) 851-6125 or </w:t>
      </w:r>
      <w:r>
        <w:rPr>
          <w:rFonts w:ascii="Arial" w:cs="Arial" w:eastAsia="Arial" w:hAnsi="Arial"/>
          <w:sz w:val="18"/>
          <w:szCs w:val="18"/>
          <w:u w:val="single" w:color="auto"/>
          <w:color w:val="auto"/>
        </w:rPr>
        <w:t>lphansen@lphansenlaw.com</w:t>
      </w:r>
      <w:r>
        <w:rPr>
          <w:rFonts w:ascii="Arial" w:cs="Arial" w:eastAsia="Arial" w:hAnsi="Arial"/>
          <w:sz w:val="18"/>
          <w:szCs w:val="18"/>
          <w:color w:val="auto"/>
        </w:rPr>
        <w:t xml:space="preserve"> if you have any questions regarding the foregoing.</w:t>
      </w:r>
    </w:p>
    <w:p>
      <w:pPr>
        <w:spacing w:after="0" w:line="225"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060"/>
        <w:spacing w:after="0"/>
        <w:rPr>
          <w:sz w:val="20"/>
          <w:szCs w:val="20"/>
          <w:color w:val="auto"/>
        </w:rPr>
      </w:pPr>
      <w:r>
        <w:rPr>
          <w:rFonts w:ascii="Arial" w:cs="Arial" w:eastAsia="Arial" w:hAnsi="Arial"/>
          <w:sz w:val="18"/>
          <w:szCs w:val="18"/>
          <w:u w:val="single" w:color="auto"/>
          <w:color w:val="auto"/>
        </w:rPr>
        <w:t>/s/ Loren P. Hansen</w:t>
      </w:r>
    </w:p>
    <w:p>
      <w:pPr>
        <w:spacing w:after="0" w:line="225"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Loren P. Hansen</w:t>
      </w:r>
    </w:p>
    <w:p>
      <w:pPr>
        <w:spacing w:after="0" w:line="252" w:lineRule="exact"/>
        <w:rPr>
          <w:sz w:val="24"/>
          <w:szCs w:val="24"/>
          <w:color w:val="auto"/>
        </w:rPr>
      </w:pPr>
    </w:p>
    <w:p>
      <w:pPr>
        <w:ind w:left="580" w:right="4340" w:hanging="572"/>
        <w:spacing w:after="0" w:line="258"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Yee Phong (Alan) Thian, Chairman, President and Chief Executive Officer, RBB Bancorp David Morris, Chief Financial Officer, RBB Bancorp</w:t>
      </w:r>
    </w:p>
    <w:p>
      <w:pPr>
        <w:spacing w:after="0" w:line="1" w:lineRule="exact"/>
        <w:rPr>
          <w:rFonts w:ascii="Arial" w:cs="Arial" w:eastAsia="Arial" w:hAnsi="Arial"/>
          <w:sz w:val="18"/>
          <w:szCs w:val="18"/>
          <w:color w:val="auto"/>
        </w:rPr>
      </w:pPr>
    </w:p>
    <w:p>
      <w:pPr>
        <w:ind w:left="580" w:right="8080"/>
        <w:spacing w:after="0" w:line="290" w:lineRule="auto"/>
        <w:rPr>
          <w:rFonts w:ascii="Arial" w:cs="Arial" w:eastAsia="Arial" w:hAnsi="Arial"/>
          <w:sz w:val="18"/>
          <w:szCs w:val="18"/>
          <w:color w:val="auto"/>
        </w:rPr>
      </w:pPr>
      <w:r>
        <w:rPr>
          <w:rFonts w:ascii="Arial" w:cs="Arial" w:eastAsia="Arial" w:hAnsi="Arial"/>
          <w:sz w:val="17"/>
          <w:szCs w:val="17"/>
          <w:color w:val="auto"/>
        </w:rPr>
        <w:t>Mr. Norman Antin, Holland &amp; Knight Mr. Jeffrey Haas, Holland &amp; Knight</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sectPr>
      <w:pgSz w:w="11900" w:h="16838" w:orient="portrait"/>
      <w:cols w:equalWidth="0" w:num="1">
        <w:col w:w="11400"/>
      </w:cols>
      <w:pgMar w:left="240" w:top="23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2019-12-07T13:29:17Z</dcterms:created>
  <dcterms:modified xsi:type="dcterms:W3CDTF">2019-12-07T13:29:17Z</dcterms:modified>
</cp:coreProperties>
</file>